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A41E5" w:rsidRDefault="00822C9F">
      <w:pPr>
        <w:spacing w:after="0" w:line="276" w:lineRule="auto"/>
        <w:jc w:val="center"/>
        <w:rPr>
          <w:rFonts w:cs="Calibri"/>
          <w:b/>
          <w:i/>
          <w:color w:val="1F4E79"/>
          <w:sz w:val="20"/>
          <w:szCs w:val="20"/>
        </w:rPr>
      </w:pPr>
      <w:r>
        <w:rPr>
          <w:rFonts w:cs="Calibri"/>
          <w:b/>
          <w:i/>
          <w:color w:val="1F4E79"/>
          <w:sz w:val="20"/>
          <w:szCs w:val="20"/>
        </w:rPr>
        <w:t xml:space="preserve">REGULAMIN PROWADZENIA DIALOGU KONKURENCYJNEGO CELEM WYBORU WYKONAWCY </w:t>
      </w:r>
    </w:p>
    <w:p w14:paraId="00000002" w14:textId="77777777" w:rsidR="00FA41E5" w:rsidRDefault="00822C9F">
      <w:pPr>
        <w:spacing w:after="0" w:line="276" w:lineRule="auto"/>
        <w:jc w:val="center"/>
        <w:rPr>
          <w:rFonts w:cs="Calibri"/>
          <w:b/>
          <w:i/>
          <w:color w:val="1F4E79"/>
          <w:sz w:val="20"/>
          <w:szCs w:val="20"/>
        </w:rPr>
      </w:pPr>
      <w:bookmarkStart w:id="0" w:name="_heading=h.30j0zll" w:colFirst="0" w:colLast="0"/>
      <w:bookmarkEnd w:id="0"/>
      <w:r>
        <w:rPr>
          <w:rFonts w:cs="Calibri"/>
          <w:b/>
          <w:i/>
          <w:color w:val="1F4E79"/>
          <w:sz w:val="20"/>
          <w:szCs w:val="20"/>
        </w:rPr>
        <w:t xml:space="preserve">DO REALIZACJI PRZEDSIĘWZIĘCIA PN. </w:t>
      </w:r>
    </w:p>
    <w:p w14:paraId="00000003" w14:textId="5F228896" w:rsidR="00FA41E5" w:rsidRDefault="00822C9F">
      <w:pPr>
        <w:spacing w:after="0" w:line="276" w:lineRule="auto"/>
        <w:jc w:val="center"/>
        <w:rPr>
          <w:rFonts w:cs="Calibri"/>
          <w:i/>
          <w:color w:val="1F4E79"/>
          <w:sz w:val="20"/>
          <w:szCs w:val="20"/>
        </w:rPr>
      </w:pPr>
      <w:r>
        <w:rPr>
          <w:rFonts w:cs="Calibri"/>
          <w:b/>
          <w:i/>
          <w:color w:val="1F4E79"/>
          <w:sz w:val="20"/>
          <w:szCs w:val="20"/>
        </w:rPr>
        <w:t>„URUCHOMIENIE, ZARZĄDZANIE I EKSPLOATACJA SYSTEMU ROWERU METROPOLITALNEGO”</w:t>
      </w:r>
    </w:p>
    <w:p w14:paraId="00000004" w14:textId="77777777" w:rsidR="00FA41E5" w:rsidRDefault="00FA41E5">
      <w:pPr>
        <w:spacing w:after="0" w:line="276" w:lineRule="auto"/>
        <w:jc w:val="center"/>
        <w:rPr>
          <w:rFonts w:cs="Calibri"/>
          <w:b/>
          <w:sz w:val="20"/>
          <w:szCs w:val="20"/>
        </w:rPr>
      </w:pPr>
    </w:p>
    <w:p w14:paraId="00000005" w14:textId="77777777" w:rsidR="00FA41E5" w:rsidRDefault="00822C9F">
      <w:pPr>
        <w:numPr>
          <w:ilvl w:val="0"/>
          <w:numId w:val="1"/>
        </w:numPr>
        <w:spacing w:before="100" w:after="0" w:line="276" w:lineRule="auto"/>
        <w:jc w:val="both"/>
        <w:rPr>
          <w:rFonts w:cs="Calibri"/>
          <w:b/>
          <w:sz w:val="20"/>
          <w:szCs w:val="20"/>
        </w:rPr>
      </w:pPr>
      <w:r>
        <w:rPr>
          <w:rFonts w:cs="Calibri"/>
          <w:b/>
          <w:sz w:val="20"/>
          <w:szCs w:val="20"/>
        </w:rPr>
        <w:t xml:space="preserve">Słowniczek pojęć </w:t>
      </w:r>
    </w:p>
    <w:p w14:paraId="00000006" w14:textId="77777777" w:rsidR="00FA41E5" w:rsidRDefault="00822C9F">
      <w:pPr>
        <w:numPr>
          <w:ilvl w:val="1"/>
          <w:numId w:val="1"/>
        </w:numPr>
        <w:spacing w:before="100" w:after="0" w:line="276" w:lineRule="auto"/>
        <w:jc w:val="both"/>
        <w:rPr>
          <w:rFonts w:cs="Calibri"/>
          <w:b/>
          <w:color w:val="000000"/>
          <w:sz w:val="20"/>
          <w:szCs w:val="20"/>
        </w:rPr>
      </w:pPr>
      <w:r>
        <w:rPr>
          <w:rFonts w:cs="Calibri"/>
          <w:b/>
          <w:color w:val="000000"/>
          <w:sz w:val="20"/>
          <w:szCs w:val="20"/>
        </w:rPr>
        <w:t xml:space="preserve">Dialog konkurencyjny </w:t>
      </w:r>
      <w:r>
        <w:rPr>
          <w:rFonts w:cs="Calibri"/>
          <w:color w:val="000000"/>
          <w:sz w:val="20"/>
          <w:szCs w:val="20"/>
        </w:rPr>
        <w:t xml:space="preserve">– tryb udzielenia zamówienia - „dialog konkurencyjny” uregulowany przepisami Ustawy </w:t>
      </w:r>
      <w:proofErr w:type="spellStart"/>
      <w:r>
        <w:rPr>
          <w:rFonts w:cs="Calibri"/>
          <w:color w:val="000000"/>
          <w:sz w:val="20"/>
          <w:szCs w:val="20"/>
        </w:rPr>
        <w:t>Pzp</w:t>
      </w:r>
      <w:proofErr w:type="spellEnd"/>
      <w:r>
        <w:rPr>
          <w:rFonts w:cs="Calibri"/>
          <w:color w:val="000000"/>
          <w:sz w:val="20"/>
          <w:szCs w:val="20"/>
        </w:rPr>
        <w:t>;</w:t>
      </w:r>
      <w:r>
        <w:rPr>
          <w:rFonts w:cs="Calibri"/>
          <w:b/>
          <w:color w:val="000000"/>
          <w:sz w:val="20"/>
          <w:szCs w:val="20"/>
        </w:rPr>
        <w:t xml:space="preserve"> </w:t>
      </w:r>
    </w:p>
    <w:p w14:paraId="00000007" w14:textId="0F76FF29" w:rsidR="00FA41E5" w:rsidRPr="00A778A6" w:rsidRDefault="00822C9F">
      <w:pPr>
        <w:numPr>
          <w:ilvl w:val="1"/>
          <w:numId w:val="1"/>
        </w:numPr>
        <w:pBdr>
          <w:top w:val="nil"/>
          <w:left w:val="nil"/>
          <w:bottom w:val="nil"/>
          <w:right w:val="nil"/>
          <w:between w:val="nil"/>
        </w:pBdr>
        <w:spacing w:line="276" w:lineRule="auto"/>
        <w:jc w:val="both"/>
        <w:rPr>
          <w:rFonts w:cs="Calibri"/>
          <w:b/>
          <w:bCs/>
          <w:color w:val="000000"/>
          <w:sz w:val="20"/>
          <w:szCs w:val="20"/>
        </w:rPr>
      </w:pPr>
      <w:r>
        <w:rPr>
          <w:rFonts w:cs="Calibri"/>
          <w:b/>
          <w:color w:val="000000"/>
          <w:sz w:val="20"/>
          <w:szCs w:val="20"/>
        </w:rPr>
        <w:t>Ogłoszenie</w:t>
      </w:r>
      <w:r>
        <w:rPr>
          <w:rFonts w:cs="Calibri"/>
          <w:color w:val="000000"/>
          <w:sz w:val="20"/>
          <w:szCs w:val="20"/>
        </w:rPr>
        <w:t xml:space="preserve"> – ogłoszenie o wszczęciu postępowania na wybór wykonawcy do realizacji Przedsięwzięcia opublikowane  w Dzienniku Urzędowym Unii Europejskiej  </w:t>
      </w:r>
      <w:r w:rsidRPr="00A778A6">
        <w:rPr>
          <w:rFonts w:cs="Calibri"/>
          <w:b/>
          <w:bCs/>
          <w:color w:val="000000"/>
          <w:sz w:val="20"/>
          <w:szCs w:val="20"/>
        </w:rPr>
        <w:t xml:space="preserve">pod nr </w:t>
      </w:r>
      <w:r w:rsidR="00A778A6" w:rsidRPr="00A778A6">
        <w:rPr>
          <w:rFonts w:cs="Calibri"/>
          <w:b/>
          <w:bCs/>
          <w:color w:val="000000"/>
          <w:sz w:val="20"/>
          <w:szCs w:val="20"/>
        </w:rPr>
        <w:t>2020/S 072-172095</w:t>
      </w:r>
      <w:r w:rsidRPr="00A778A6">
        <w:rPr>
          <w:rFonts w:cs="Calibri"/>
          <w:b/>
          <w:bCs/>
          <w:color w:val="000000"/>
          <w:sz w:val="20"/>
          <w:szCs w:val="20"/>
        </w:rPr>
        <w:t xml:space="preserve"> w dniu </w:t>
      </w:r>
      <w:r w:rsidR="00A778A6" w:rsidRPr="00A778A6">
        <w:rPr>
          <w:rFonts w:cs="Calibri"/>
          <w:b/>
          <w:bCs/>
          <w:color w:val="000000"/>
          <w:sz w:val="20"/>
          <w:szCs w:val="20"/>
        </w:rPr>
        <w:t>10.04.2020 roku</w:t>
      </w:r>
    </w:p>
    <w:p w14:paraId="00000008" w14:textId="77777777" w:rsidR="00FA41E5" w:rsidRDefault="00822C9F">
      <w:pPr>
        <w:numPr>
          <w:ilvl w:val="1"/>
          <w:numId w:val="1"/>
        </w:numPr>
        <w:spacing w:before="100" w:after="0" w:line="276" w:lineRule="auto"/>
        <w:jc w:val="both"/>
        <w:rPr>
          <w:rFonts w:cs="Calibri"/>
          <w:b/>
          <w:color w:val="000000"/>
          <w:sz w:val="20"/>
          <w:szCs w:val="20"/>
        </w:rPr>
      </w:pPr>
      <w:r>
        <w:rPr>
          <w:rFonts w:cs="Calibri"/>
          <w:b/>
          <w:color w:val="000000"/>
          <w:sz w:val="20"/>
          <w:szCs w:val="20"/>
        </w:rPr>
        <w:t xml:space="preserve">Wykonawca </w:t>
      </w:r>
      <w:r>
        <w:rPr>
          <w:rFonts w:cs="Calibri"/>
          <w:color w:val="000000"/>
          <w:sz w:val="20"/>
          <w:szCs w:val="20"/>
        </w:rPr>
        <w:t>–</w:t>
      </w:r>
      <w:r>
        <w:rPr>
          <w:rFonts w:cs="Calibri"/>
          <w:b/>
          <w:color w:val="000000"/>
          <w:sz w:val="20"/>
          <w:szCs w:val="20"/>
        </w:rPr>
        <w:t xml:space="preserve"> </w:t>
      </w:r>
      <w:r>
        <w:rPr>
          <w:rFonts w:cs="Calibri"/>
          <w:color w:val="000000"/>
          <w:sz w:val="20"/>
          <w:szCs w:val="20"/>
        </w:rPr>
        <w:t>podmiot, który złożył wniosek o dopuszczenie do udziału w postępowaniu na realizację Przedsięwzięcia i został zaproszony przez  OMGGS do uczestnictwa w Dialogu konkurencyjnym;</w:t>
      </w:r>
    </w:p>
    <w:p w14:paraId="00000009" w14:textId="77777777" w:rsidR="00FA41E5" w:rsidRDefault="00822C9F">
      <w:pPr>
        <w:numPr>
          <w:ilvl w:val="1"/>
          <w:numId w:val="1"/>
        </w:numPr>
        <w:spacing w:before="100" w:after="0" w:line="276" w:lineRule="auto"/>
        <w:jc w:val="both"/>
        <w:rPr>
          <w:rFonts w:cs="Calibri"/>
          <w:b/>
          <w:color w:val="000000"/>
          <w:sz w:val="20"/>
          <w:szCs w:val="20"/>
        </w:rPr>
      </w:pPr>
      <w:r>
        <w:rPr>
          <w:rFonts w:cs="Calibri"/>
          <w:b/>
          <w:color w:val="000000"/>
          <w:sz w:val="20"/>
          <w:szCs w:val="20"/>
        </w:rPr>
        <w:t xml:space="preserve">Zamawiający - OMGGS </w:t>
      </w:r>
      <w:r>
        <w:rPr>
          <w:rFonts w:cs="Calibri"/>
          <w:color w:val="000000"/>
          <w:sz w:val="20"/>
          <w:szCs w:val="20"/>
        </w:rPr>
        <w:t xml:space="preserve">–Stowarzyszenie Obszar Metropolitalny Gdańsk-Gdynia-Sopot,  z siedzibą w Gdańsku, ul. Długi Targ 39/40, 80-830 Gdańsk </w:t>
      </w:r>
    </w:p>
    <w:p w14:paraId="0000000A" w14:textId="77777777" w:rsidR="00FA41E5" w:rsidRDefault="00822C9F">
      <w:pPr>
        <w:numPr>
          <w:ilvl w:val="1"/>
          <w:numId w:val="1"/>
        </w:numPr>
        <w:pBdr>
          <w:top w:val="nil"/>
          <w:left w:val="nil"/>
          <w:bottom w:val="nil"/>
          <w:right w:val="nil"/>
          <w:between w:val="nil"/>
        </w:pBdr>
        <w:spacing w:line="276" w:lineRule="auto"/>
        <w:jc w:val="both"/>
        <w:rPr>
          <w:rFonts w:cs="Calibri"/>
          <w:color w:val="000000"/>
          <w:sz w:val="20"/>
          <w:szCs w:val="20"/>
        </w:rPr>
      </w:pPr>
      <w:r>
        <w:rPr>
          <w:rFonts w:cs="Calibri"/>
          <w:b/>
          <w:color w:val="000000"/>
          <w:sz w:val="20"/>
          <w:szCs w:val="20"/>
        </w:rPr>
        <w:t xml:space="preserve">Przedsięwzięcie </w:t>
      </w:r>
      <w:r>
        <w:rPr>
          <w:rFonts w:cs="Calibri"/>
          <w:color w:val="000000"/>
          <w:sz w:val="20"/>
          <w:szCs w:val="20"/>
        </w:rPr>
        <w:t xml:space="preserve">– przedsięwzięcie mające na celu </w:t>
      </w:r>
      <w:r>
        <w:rPr>
          <w:sz w:val="20"/>
          <w:szCs w:val="20"/>
        </w:rPr>
        <w:t>usługę</w:t>
      </w:r>
      <w:r>
        <w:rPr>
          <w:rFonts w:cs="Calibri"/>
          <w:color w:val="000000"/>
          <w:sz w:val="20"/>
          <w:szCs w:val="20"/>
        </w:rPr>
        <w:t xml:space="preserve"> dostawy, uruchomienia oraz zarządzania i kompleksowej eksploatacji Systemu Roweru Metropolitalnego OMG-G-S, w zakresie wskazanym w Ogłoszeniu.  </w:t>
      </w:r>
    </w:p>
    <w:p w14:paraId="0000000B" w14:textId="77777777" w:rsidR="00FA41E5" w:rsidRDefault="00822C9F">
      <w:pPr>
        <w:numPr>
          <w:ilvl w:val="1"/>
          <w:numId w:val="1"/>
        </w:numPr>
        <w:spacing w:before="100" w:after="0" w:line="276" w:lineRule="auto"/>
        <w:jc w:val="both"/>
        <w:rPr>
          <w:rFonts w:cs="Calibri"/>
          <w:color w:val="000000"/>
          <w:sz w:val="20"/>
          <w:szCs w:val="20"/>
        </w:rPr>
      </w:pPr>
      <w:r>
        <w:rPr>
          <w:rFonts w:cs="Calibri"/>
          <w:b/>
          <w:color w:val="000000"/>
          <w:sz w:val="20"/>
          <w:szCs w:val="20"/>
        </w:rPr>
        <w:t xml:space="preserve">Regulamin </w:t>
      </w:r>
      <w:r>
        <w:rPr>
          <w:rFonts w:cs="Calibri"/>
          <w:color w:val="000000"/>
          <w:sz w:val="20"/>
          <w:szCs w:val="20"/>
        </w:rPr>
        <w:t>– niniejszy regulamin prowadzenia Dialogu konkurencyjnego na wybór Wykonawcy do realizacji Przedsięwzięcia;</w:t>
      </w:r>
    </w:p>
    <w:p w14:paraId="0000000C" w14:textId="77777777" w:rsidR="00FA41E5" w:rsidRDefault="00822C9F">
      <w:pPr>
        <w:numPr>
          <w:ilvl w:val="1"/>
          <w:numId w:val="1"/>
        </w:numPr>
        <w:spacing w:before="100" w:after="0" w:line="276" w:lineRule="auto"/>
        <w:jc w:val="both"/>
        <w:rPr>
          <w:rFonts w:cs="Calibri"/>
          <w:color w:val="000000"/>
          <w:sz w:val="20"/>
          <w:szCs w:val="20"/>
        </w:rPr>
      </w:pPr>
      <w:r>
        <w:rPr>
          <w:rFonts w:cs="Calibri"/>
          <w:b/>
          <w:color w:val="000000"/>
          <w:sz w:val="20"/>
          <w:szCs w:val="20"/>
        </w:rPr>
        <w:t>SIWZ</w:t>
      </w:r>
      <w:r>
        <w:rPr>
          <w:rFonts w:cs="Calibri"/>
          <w:color w:val="000000"/>
          <w:sz w:val="20"/>
          <w:szCs w:val="20"/>
        </w:rPr>
        <w:t xml:space="preserve"> – Specyfikacja Istotnych Warunków Zamówienia w rozumieniu </w:t>
      </w:r>
      <w:proofErr w:type="spellStart"/>
      <w:r>
        <w:rPr>
          <w:rFonts w:cs="Calibri"/>
          <w:color w:val="000000"/>
          <w:sz w:val="20"/>
          <w:szCs w:val="20"/>
        </w:rPr>
        <w:t>uPzp</w:t>
      </w:r>
      <w:proofErr w:type="spellEnd"/>
      <w:r>
        <w:rPr>
          <w:rFonts w:cs="Calibri"/>
          <w:color w:val="000000"/>
          <w:sz w:val="20"/>
          <w:szCs w:val="20"/>
        </w:rPr>
        <w:t>;</w:t>
      </w:r>
    </w:p>
    <w:p w14:paraId="0000000D" w14:textId="77777777" w:rsidR="00FA41E5" w:rsidRDefault="00822C9F">
      <w:pPr>
        <w:numPr>
          <w:ilvl w:val="1"/>
          <w:numId w:val="1"/>
        </w:numPr>
        <w:spacing w:before="100" w:after="0" w:line="276" w:lineRule="auto"/>
        <w:jc w:val="both"/>
        <w:rPr>
          <w:rFonts w:cs="Calibri"/>
          <w:color w:val="000000"/>
          <w:sz w:val="20"/>
          <w:szCs w:val="20"/>
        </w:rPr>
      </w:pPr>
      <w:proofErr w:type="spellStart"/>
      <w:r>
        <w:rPr>
          <w:rFonts w:cs="Calibri"/>
          <w:b/>
          <w:color w:val="000000"/>
          <w:sz w:val="20"/>
          <w:szCs w:val="20"/>
        </w:rPr>
        <w:t>uPzp</w:t>
      </w:r>
      <w:proofErr w:type="spellEnd"/>
      <w:r>
        <w:rPr>
          <w:rFonts w:cs="Calibri"/>
          <w:color w:val="000000"/>
          <w:sz w:val="20"/>
          <w:szCs w:val="20"/>
        </w:rPr>
        <w:t xml:space="preserve"> – ustawa z dnia 29 stycznia 2004 r. Prawo zamówień publicznych (tj.: Dz. U. z 2019 r., poz. 1843 ze zm.).</w:t>
      </w:r>
    </w:p>
    <w:p w14:paraId="0000000E" w14:textId="77777777" w:rsidR="00FA41E5" w:rsidRDefault="00FA41E5">
      <w:pPr>
        <w:spacing w:after="0" w:line="276" w:lineRule="auto"/>
        <w:jc w:val="both"/>
        <w:rPr>
          <w:rFonts w:cs="Calibri"/>
          <w:sz w:val="20"/>
          <w:szCs w:val="20"/>
        </w:rPr>
      </w:pPr>
    </w:p>
    <w:p w14:paraId="0000000F" w14:textId="77777777" w:rsidR="00FA41E5" w:rsidRDefault="00822C9F">
      <w:pPr>
        <w:numPr>
          <w:ilvl w:val="0"/>
          <w:numId w:val="1"/>
        </w:numPr>
        <w:spacing w:before="100" w:after="0" w:line="276" w:lineRule="auto"/>
        <w:jc w:val="both"/>
        <w:rPr>
          <w:rFonts w:cs="Calibri"/>
          <w:b/>
          <w:sz w:val="20"/>
          <w:szCs w:val="20"/>
        </w:rPr>
      </w:pPr>
      <w:r>
        <w:rPr>
          <w:rFonts w:cs="Calibri"/>
          <w:b/>
          <w:sz w:val="20"/>
          <w:szCs w:val="20"/>
        </w:rPr>
        <w:t>Podstawowe zasady prowadzenia Dialogu konkurencyjnego</w:t>
      </w:r>
    </w:p>
    <w:p w14:paraId="00000010"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Regulamin określa zasady prowadzenia przez  OMGGS Dialogu konkurencyjnego celem wyboru Wykonawcy do realizacji Przedsięwzięcia.</w:t>
      </w:r>
    </w:p>
    <w:p w14:paraId="00000011"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Dialog konkurencyjny prowadzony jest przez  OMGGS w sposób zapewniający zachowanie zasad uczciwej konkurencji i równego traktowania Wykonawców  oraz innych zasad </w:t>
      </w:r>
      <w:r>
        <w:rPr>
          <w:sz w:val="20"/>
          <w:szCs w:val="20"/>
        </w:rPr>
        <w:t>prowadzenia</w:t>
      </w:r>
      <w:r>
        <w:rPr>
          <w:rFonts w:cs="Calibri"/>
          <w:color w:val="000000"/>
          <w:sz w:val="20"/>
          <w:szCs w:val="20"/>
        </w:rPr>
        <w:t xml:space="preserve"> postępowania o zamówienie publiczne określonych przepisami Ustawy </w:t>
      </w:r>
      <w:proofErr w:type="spellStart"/>
      <w:r>
        <w:rPr>
          <w:rFonts w:cs="Calibri"/>
          <w:color w:val="000000"/>
          <w:sz w:val="20"/>
          <w:szCs w:val="20"/>
        </w:rPr>
        <w:t>Pzp</w:t>
      </w:r>
      <w:proofErr w:type="spellEnd"/>
      <w:r>
        <w:rPr>
          <w:rFonts w:cs="Calibri"/>
          <w:color w:val="000000"/>
          <w:sz w:val="20"/>
          <w:szCs w:val="20"/>
        </w:rPr>
        <w:t>.</w:t>
      </w:r>
    </w:p>
    <w:p w14:paraId="00000012"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Postępowanie prowadzone jest w formie pisemnej, w języku polskim. Tłumaczenie wszelkiej dokumentacji, w tym dokumentacji opracowanej i przekazywanej OMGGS w trakcie Dialogu konkurencyjnego, zapewnia Wykonawca we własnym zakresie i na własny koszt.</w:t>
      </w:r>
    </w:p>
    <w:p w14:paraId="00000013"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 trakcie trwania Dialogu konkurencyjnego niedopuszczalne są zmiany podmiotowe po stronie Wykonawcy. Powyższy zakaz obejmuje również zmiany podmiotowe w obrębie konsorcjum biorącego udział w Dialogu konkurencyjnym po stronie Wykonawcy.</w:t>
      </w:r>
    </w:p>
    <w:p w14:paraId="00000014"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Wykonawca ponosi wszelkie koszty uczestnictwa w Dialogu konkurencyjnym.</w:t>
      </w:r>
    </w:p>
    <w:p w14:paraId="00000015"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 OMGGS nie przewiduje nagród dla Wykonawców za udział w Dialogu konkurencyjnym.</w:t>
      </w:r>
    </w:p>
    <w:p w14:paraId="00000016" w14:textId="77777777" w:rsidR="00FA41E5" w:rsidRDefault="00FA41E5">
      <w:pPr>
        <w:spacing w:after="0" w:line="276" w:lineRule="auto"/>
        <w:jc w:val="both"/>
        <w:rPr>
          <w:rFonts w:cs="Calibri"/>
          <w:color w:val="000000"/>
          <w:sz w:val="20"/>
          <w:szCs w:val="20"/>
        </w:rPr>
      </w:pPr>
    </w:p>
    <w:p w14:paraId="00000017" w14:textId="77777777" w:rsidR="00FA41E5" w:rsidRDefault="00822C9F">
      <w:pPr>
        <w:numPr>
          <w:ilvl w:val="0"/>
          <w:numId w:val="1"/>
        </w:numPr>
        <w:spacing w:before="100" w:after="0" w:line="276" w:lineRule="auto"/>
        <w:jc w:val="both"/>
        <w:rPr>
          <w:rFonts w:cs="Calibri"/>
          <w:b/>
          <w:color w:val="000000"/>
          <w:sz w:val="20"/>
          <w:szCs w:val="20"/>
        </w:rPr>
      </w:pPr>
      <w:r>
        <w:rPr>
          <w:rFonts w:cs="Calibri"/>
          <w:b/>
          <w:color w:val="000000"/>
          <w:sz w:val="20"/>
          <w:szCs w:val="20"/>
        </w:rPr>
        <w:t>Poufność</w:t>
      </w:r>
    </w:p>
    <w:p w14:paraId="00000018"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 trakcie Dialogu konkurencyjnego Wykonawcy przedstawiają propozycje i rozwiązania poszczególnych aspektów Przedsięwzięcia, które mogą mieć charakter informacji stanowiących tajemnicę przedsiębiorstwa.</w:t>
      </w:r>
    </w:p>
    <w:p w14:paraId="00000019"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lastRenderedPageBreak/>
        <w:t xml:space="preserve">Zgodnie z art. 60 d ust. 7 Ustawy </w:t>
      </w:r>
      <w:proofErr w:type="spellStart"/>
      <w:r>
        <w:rPr>
          <w:rFonts w:cs="Calibri"/>
          <w:color w:val="000000"/>
          <w:sz w:val="20"/>
          <w:szCs w:val="20"/>
        </w:rPr>
        <w:t>Pzp</w:t>
      </w:r>
      <w:proofErr w:type="spellEnd"/>
      <w:r>
        <w:rPr>
          <w:rFonts w:cs="Calibri"/>
          <w:color w:val="000000"/>
          <w:sz w:val="20"/>
          <w:szCs w:val="20"/>
        </w:rPr>
        <w:t xml:space="preserve"> prowadzony Dialog konkurencyjny będzie miał charakter poufny i żadna ze stron postępowania nie będzie mogła bez zgody drugiej strony ujawnić informacji stanowiących tajemnicę przedsiębiorstwa. Zastrzeżenie to obejmuje w szczególności wszelkie materiały i dokumenty przekazywane OMGGS  przez Wykonawców, zawierające takie informacje.</w:t>
      </w:r>
    </w:p>
    <w:p w14:paraId="0000001A"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Wykonawca nie później niż w momencie przekazywania w trakcie Dialogu konkurencyjnego informacji i dokumentów OMGGS, powinien zastrzec i wykazać, iż stanowią one tajemnicę jego przedsiębiorstwa. </w:t>
      </w:r>
    </w:p>
    <w:p w14:paraId="0000001B"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Ujawnienie przez  OMGGS informacji, o których mowa w punkcie 3.3 Regulaminu innym Wykonawcom w trakcie prowadzonego Dialogu konkurencyjnego, będzie możliwe wyłącznie w przypadku, gdy Wykonawca wyrazi na to zgodę w formie pisemnej. Zgoda taka nie może być domniemywana. Wyrażenie zgody na udostępnienie danych informacji będzie równoznaczne z ich przekazaniem wszystkim Wykonawcom zaproszonym do wzięcia udziału w Dialogu konkurencyjnym.</w:t>
      </w:r>
    </w:p>
    <w:p w14:paraId="0000001C" w14:textId="77777777" w:rsidR="00FA41E5" w:rsidRDefault="00FA41E5">
      <w:pPr>
        <w:spacing w:before="100" w:after="0" w:line="276" w:lineRule="auto"/>
        <w:jc w:val="both"/>
        <w:rPr>
          <w:rFonts w:cs="Calibri"/>
          <w:color w:val="000000"/>
          <w:sz w:val="20"/>
          <w:szCs w:val="20"/>
        </w:rPr>
      </w:pPr>
    </w:p>
    <w:p w14:paraId="0000001D" w14:textId="77777777" w:rsidR="00FA41E5" w:rsidRDefault="00822C9F">
      <w:pPr>
        <w:numPr>
          <w:ilvl w:val="0"/>
          <w:numId w:val="1"/>
        </w:numPr>
        <w:spacing w:before="100" w:after="0" w:line="276" w:lineRule="auto"/>
        <w:jc w:val="both"/>
        <w:rPr>
          <w:rFonts w:cs="Calibri"/>
          <w:b/>
          <w:color w:val="000000"/>
          <w:sz w:val="20"/>
          <w:szCs w:val="20"/>
        </w:rPr>
      </w:pPr>
      <w:r>
        <w:rPr>
          <w:rFonts w:cs="Calibri"/>
          <w:b/>
          <w:color w:val="000000"/>
          <w:sz w:val="20"/>
          <w:szCs w:val="20"/>
        </w:rPr>
        <w:t>Komunikacja stron w trakcie Dialogu konkurencyjnego</w:t>
      </w:r>
    </w:p>
    <w:p w14:paraId="0000001E"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Wykonawcy mogą komunikować się z OMGGS wyłącznie w ramach Dialogu konkurencyjnego. W trakcie trwania Dialogu konkurencyjnego Wykonawcy zobowiązani są do powstrzymania się od jakiejkolwiek komunikacji pomiędzy sobą dotyczącej Przedsięwzięcia.</w:t>
      </w:r>
    </w:p>
    <w:p w14:paraId="0000001F"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Z zastrzeżeniem punktu 4.5 oraz 4.7 Regulaminu, do momentu otrzymania informacji o zakończeniu Dialogu konkurencyjnego Wykonawca może przekazywać Zamawiającemu oświadczenia, uwagi, wnioski, zapytania, zawiadomienia, informacje oraz komentarze, w tym proponowane rozwiązania dotyczące planowanej inwestycji oraz Umowy i Opisu potrzeb i wymagań zamawiającego, komentarze do postanowień tej umowy oraz propozycji technicznych Zamawiającego, jak również komentarze do zagadnień zdefiniowanych w zaproszeniu, o którym mowa w punkcie 5.2 Regulaminu </w:t>
      </w:r>
      <w:r>
        <w:rPr>
          <w:rFonts w:cs="Calibri"/>
          <w:b/>
          <w:color w:val="000000"/>
          <w:sz w:val="20"/>
          <w:szCs w:val="20"/>
        </w:rPr>
        <w:t>(„Materiały do Dialogu Konkurencyjnego”)</w:t>
      </w:r>
      <w:r>
        <w:rPr>
          <w:rFonts w:cs="Calibri"/>
          <w:color w:val="000000"/>
          <w:sz w:val="20"/>
          <w:szCs w:val="20"/>
        </w:rPr>
        <w:t xml:space="preserve">. Komentarze do projektu Umowy i Opisu potrzeb i wymagań Zamawiającego  powinny zostać przedstawione w formie propozycji konkretnych zapisów do Umowy bądź Opisu potrzeb i wymagań Zamawiającego wraz ze szczegółowym uzasadnieniem proponowanej zmiany.  Zmiany zgłaszane w inny sposób mogą nie zostać wzięte pod uwagę przez Zamawiającego. Dotyczy to szczególnie uwag "do dalszej dyskusji", "niniejszy punkt wymaga zmian"; "konieczne doprecyzowanie" itp. </w:t>
      </w:r>
    </w:p>
    <w:p w14:paraId="00000020"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Materiały do Dialogu konkurencyjnego powinny być przekazywane drogą elektroniczną. Na prośbę stron, dokumenty mogą być przekazywane w wersji edytowalnej. Przedkładane przez Wykonawców dokumenty oraz materiały powinny zawierać ponumerowane strony oraz firmę Wykonawcy wskazaną na każdej stronie dokumentu/materiału.</w:t>
      </w:r>
    </w:p>
    <w:p w14:paraId="00000021"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 OMGGS może zobowiązać Wykonawców do dostarczenia wskazanych przez siebie dokumentów oraz materiałów, wyznaczając termin do ich przekazania. </w:t>
      </w:r>
    </w:p>
    <w:p w14:paraId="00000022" w14:textId="10023B5F"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Wykonawcy porozumiewając się z OMGGS powinni powoływać się na numer postępowania, tj. </w:t>
      </w:r>
      <w:r w:rsidR="003E6370" w:rsidRPr="003E6370">
        <w:rPr>
          <w:rFonts w:cs="Calibri"/>
          <w:b/>
          <w:color w:val="2E74B5" w:themeColor="accent1" w:themeShade="BF"/>
          <w:sz w:val="20"/>
          <w:szCs w:val="20"/>
        </w:rPr>
        <w:t>OMGGS/DK/01/2020</w:t>
      </w:r>
      <w:r w:rsidR="003E6370">
        <w:rPr>
          <w:rFonts w:cs="Calibri"/>
          <w:b/>
          <w:color w:val="2E74B5" w:themeColor="accent1" w:themeShade="BF"/>
          <w:sz w:val="20"/>
          <w:szCs w:val="20"/>
        </w:rPr>
        <w:t>.</w:t>
      </w:r>
    </w:p>
    <w:p w14:paraId="00000023"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 OMGGS może wyznaczyć Wykonawcom wiążący termin składania Materiałów do Dialogu konkurencyjnego. Wyznaczenie tego terminu nie może prowadzić do naruszenia zasady uczciwej konkurencji i równego traktowania Wykonawców.</w:t>
      </w:r>
    </w:p>
    <w:p w14:paraId="00000024"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Decyzja, czy ustosunkować się do przedstawionych przez Wykonawców Materiałów do Dialogu konkurencyjnego poza turą Dialogu konkurencyjnego, czy też w jej trakcie (tj. w trakcie spotkania z Wykonawcą) jest pozostawiona wyłącznie OMGGS.</w:t>
      </w:r>
    </w:p>
    <w:p w14:paraId="00000025"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W przypadku składania Materiałów do Dialogu konkurencyjnego faksem lub drogą elektroniczną uznaje się, że zostały one skutecznie doręczone w chwili zakończenia transmisji wysyłającego.</w:t>
      </w:r>
    </w:p>
    <w:p w14:paraId="2E6C6FE3" w14:textId="7C58AC88" w:rsidR="004C3A1B" w:rsidRPr="004C3A1B" w:rsidRDefault="00822C9F" w:rsidP="004C3A1B">
      <w:pPr>
        <w:numPr>
          <w:ilvl w:val="1"/>
          <w:numId w:val="1"/>
        </w:numPr>
        <w:pBdr>
          <w:bottom w:val="single" w:sz="12" w:space="5" w:color="000000"/>
        </w:pBdr>
        <w:spacing w:before="100" w:after="0" w:line="276" w:lineRule="auto"/>
        <w:ind w:left="851" w:hanging="491"/>
        <w:jc w:val="both"/>
        <w:rPr>
          <w:rFonts w:cs="Calibri"/>
          <w:sz w:val="20"/>
          <w:szCs w:val="20"/>
        </w:rPr>
      </w:pPr>
      <w:r w:rsidRPr="004C3A1B">
        <w:rPr>
          <w:rFonts w:cs="Calibri"/>
          <w:color w:val="000000"/>
          <w:sz w:val="20"/>
          <w:szCs w:val="20"/>
        </w:rPr>
        <w:lastRenderedPageBreak/>
        <w:t xml:space="preserve">Wszelka korespondencja powinna być kierowana na adres e-mail: </w:t>
      </w:r>
      <w:hyperlink r:id="rId8" w:history="1">
        <w:r w:rsidR="004C3A1B" w:rsidRPr="004C3A1B">
          <w:rPr>
            <w:rStyle w:val="Hipercze"/>
            <w:rFonts w:cs="Calibri"/>
            <w:sz w:val="20"/>
            <w:szCs w:val="20"/>
            <w:u w:val="none"/>
          </w:rPr>
          <w:t>malgorzata.stupakowska@um.sopot.pl</w:t>
        </w:r>
      </w:hyperlink>
      <w:r w:rsidR="004C3A1B" w:rsidRPr="004C3A1B">
        <w:rPr>
          <w:rFonts w:cs="Calibri"/>
          <w:color w:val="000000"/>
          <w:sz w:val="20"/>
          <w:szCs w:val="20"/>
        </w:rPr>
        <w:t>.</w:t>
      </w:r>
    </w:p>
    <w:p w14:paraId="3E973822" w14:textId="77777777" w:rsidR="004C3A1B" w:rsidRPr="004C3A1B" w:rsidRDefault="004C3A1B" w:rsidP="004C3A1B"/>
    <w:p w14:paraId="0000002A" w14:textId="77777777" w:rsidR="00FA41E5" w:rsidRDefault="00822C9F" w:rsidP="004C3A1B">
      <w:pPr>
        <w:numPr>
          <w:ilvl w:val="0"/>
          <w:numId w:val="1"/>
        </w:numPr>
        <w:spacing w:before="100" w:after="0" w:line="276" w:lineRule="auto"/>
        <w:jc w:val="both"/>
        <w:rPr>
          <w:rFonts w:cs="Calibri"/>
          <w:b/>
          <w:color w:val="000000"/>
          <w:sz w:val="20"/>
          <w:szCs w:val="20"/>
        </w:rPr>
      </w:pPr>
      <w:r>
        <w:rPr>
          <w:rFonts w:cs="Calibri"/>
          <w:b/>
          <w:color w:val="000000"/>
          <w:sz w:val="20"/>
          <w:szCs w:val="20"/>
        </w:rPr>
        <w:t>Przebieg Dialogu konkurencyjnego</w:t>
      </w:r>
    </w:p>
    <w:p w14:paraId="0000002B" w14:textId="77777777" w:rsidR="00FA41E5" w:rsidRDefault="00822C9F" w:rsidP="004C3A1B">
      <w:pPr>
        <w:numPr>
          <w:ilvl w:val="1"/>
          <w:numId w:val="1"/>
        </w:numPr>
        <w:spacing w:before="100" w:after="0" w:line="276" w:lineRule="auto"/>
        <w:jc w:val="both"/>
        <w:rPr>
          <w:rFonts w:cs="Calibri"/>
          <w:color w:val="000000"/>
          <w:sz w:val="20"/>
          <w:szCs w:val="20"/>
        </w:rPr>
      </w:pPr>
      <w:r>
        <w:rPr>
          <w:rFonts w:cs="Calibri"/>
          <w:color w:val="000000"/>
          <w:sz w:val="20"/>
          <w:szCs w:val="20"/>
        </w:rPr>
        <w:t>Dialog konkurencyjny prowadzony będzie turami, na podstawie tożsamej dla wszystkich agendy danej tury Dialogu konkurencyjnego (</w:t>
      </w:r>
      <w:r>
        <w:rPr>
          <w:rFonts w:cs="Calibri"/>
          <w:b/>
          <w:color w:val="000000"/>
          <w:sz w:val="20"/>
          <w:szCs w:val="20"/>
        </w:rPr>
        <w:t>„Agenda”</w:t>
      </w:r>
      <w:r>
        <w:rPr>
          <w:rFonts w:cs="Calibri"/>
          <w:color w:val="000000"/>
          <w:sz w:val="20"/>
          <w:szCs w:val="20"/>
        </w:rPr>
        <w:t>).</w:t>
      </w:r>
    </w:p>
    <w:p w14:paraId="0000002C"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OMGGS prześle Wykonawcom informację o turze Dialogu konkurencyjnego wraz z  Agendą nie później niż 5 dni przed planowanym jej przeprowadzeniem. O ile będzie to konieczne,  OMGGS do zaproszenia dołączy dokumenty, informacje oraz inne dane, które uzna za niezbędne do danego etapu Dialogu konkurencyjnego.</w:t>
      </w:r>
    </w:p>
    <w:p w14:paraId="0000002D"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Przekazana przez  OMGGS Agenda ma charakter wyłącznie informacyjny i porządkowy, co oznacza, iż strony mają możliwość zgłaszania dodatkowych kwestii wymagających dyskusji, przekazania dokumentów, informacji lub innych danych, także w trakcie trwania spotkania.</w:t>
      </w:r>
    </w:p>
    <w:p w14:paraId="0000002E"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 OMGGS przekaże wszystkim Wykonawcom materiały zawierające w szczególności harmonogram Dialogu konkurencyjnego. Harmonogram Dialogu konkurencyjnego może zostać zmieniony przez OMGGS.</w:t>
      </w:r>
    </w:p>
    <w:p w14:paraId="0000002F"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Dialog konkurencyjny będzie prowadzony z każdym z Wykonawców osobno, na takich samych zasadach i na podstawie takiej samej Agendy, z zastrzeżeniem punktu 5.3 Regulaminu. Dodatkowo, jedna albo więcej tur Dialogu konkurencyjnego może zostać przeprowadzona łącznie dla wszystkich Wykonawców, a decyzja w tym zakresie jest pozostawiona wyłącznie OMGGS. W przypadku gdy jeden z Wykonawców zaproponuje dodatkowe spotkanie np. warsztat poświęcony szczegółowemu omówieniu uwag do poszczególnych dokumentów przedstawionych przez tego Wykonawcę wówczas  OMGGS uprawniony będzie do zaakceptowania udziału w takim dodatkowym spotkaniu w miejscu i terminie zaproponowanym przez Wykonawcę pod warunkiem, iż takie samo spotkanie zostanie zaproponowane pozostałym Wykonawcom na analogicznych zasadach. Jeżeli pozostali Wykonawcy nie skorzystają z takiej możliwości, wówczas OMGGS  uprawniony będzie do udziału w spotkaniu wyłącznie z Wykonawcą, który je zaproponował</w:t>
      </w:r>
      <w:r>
        <w:rPr>
          <w:sz w:val="20"/>
          <w:szCs w:val="20"/>
        </w:rPr>
        <w:t>.</w:t>
      </w:r>
    </w:p>
    <w:p w14:paraId="00000030"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OMGGS samodzielnie ustali kolejność spotkań z Wykonawcami w ramach danej tury Dialogu konkurencyjnego.</w:t>
      </w:r>
    </w:p>
    <w:p w14:paraId="00000031"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OMGGS zastrzega sobie prawo wskazania maksymalnej liczby osób, które będą mogły wziąć udział w spotkaniu po stronie Wykonawcy. Ponadto, w spotkaniu mogą wziąć udział wyłącznie osoby zgłoszone OMGGS w wyznaczonym przez ten podmiot terminie ("</w:t>
      </w:r>
      <w:r>
        <w:rPr>
          <w:rFonts w:cs="Calibri"/>
          <w:b/>
          <w:color w:val="000000"/>
          <w:sz w:val="20"/>
          <w:szCs w:val="20"/>
        </w:rPr>
        <w:t>Uczestnicy spotkania</w:t>
      </w:r>
      <w:r>
        <w:rPr>
          <w:rFonts w:cs="Calibri"/>
          <w:color w:val="000000"/>
          <w:sz w:val="20"/>
          <w:szCs w:val="20"/>
        </w:rPr>
        <w:t>"), chyba że  OMGGS wyrazi zgodę na udział innych osób obok lub w zamian za Uczestników spotkania.  OMGGS wyrazi zgodę na zastępstwo Uczestnika Spotkania przez podmiot legitymujący się odpowiednim pełnomocnictwem, okazanym najpóźniej w dniu spotkania. Przedstawiciele instytucji finansowych mogą brać udział w Dialogu konkurencyjnym po stronie Wykonawców.</w:t>
      </w:r>
    </w:p>
    <w:p w14:paraId="6724FFE0" w14:textId="77777777" w:rsidR="008401C9"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Spotkania w ramach poszczególnych tur Dialogu konkurencyjnego będą prowadzone w siedzibie Zamawiającego lub w innym miejscu wyznaczonym przez Zamawiającego.</w:t>
      </w:r>
      <w:r w:rsidR="00C02ABD">
        <w:rPr>
          <w:rFonts w:cs="Calibri"/>
          <w:color w:val="000000"/>
          <w:sz w:val="20"/>
          <w:szCs w:val="20"/>
        </w:rPr>
        <w:t xml:space="preserve"> </w:t>
      </w:r>
    </w:p>
    <w:p w14:paraId="00000032" w14:textId="19D3A31B" w:rsidR="00FA41E5" w:rsidRDefault="00C02ABD">
      <w:pPr>
        <w:numPr>
          <w:ilvl w:val="1"/>
          <w:numId w:val="1"/>
        </w:numPr>
        <w:spacing w:before="100" w:after="0" w:line="276" w:lineRule="auto"/>
        <w:jc w:val="both"/>
        <w:rPr>
          <w:rFonts w:cs="Calibri"/>
          <w:color w:val="000000"/>
          <w:sz w:val="20"/>
          <w:szCs w:val="20"/>
        </w:rPr>
      </w:pPr>
      <w:r w:rsidRPr="008401C9">
        <w:rPr>
          <w:rFonts w:cs="Calibri"/>
          <w:b/>
          <w:bCs/>
          <w:color w:val="000000"/>
          <w:sz w:val="20"/>
          <w:szCs w:val="20"/>
        </w:rPr>
        <w:t xml:space="preserve">Zamawiający dopuszcza </w:t>
      </w:r>
      <w:r w:rsidR="008401C9" w:rsidRPr="008401C9">
        <w:rPr>
          <w:rFonts w:cs="Calibri"/>
          <w:b/>
          <w:bCs/>
          <w:color w:val="000000"/>
          <w:sz w:val="20"/>
          <w:szCs w:val="20"/>
        </w:rPr>
        <w:t>możliwość prowadzenia dialogu w formie telekonferencji.</w:t>
      </w:r>
      <w:r w:rsidR="00822C9F">
        <w:rPr>
          <w:rFonts w:cs="Calibri"/>
          <w:color w:val="000000"/>
          <w:sz w:val="20"/>
          <w:szCs w:val="20"/>
        </w:rPr>
        <w:t xml:space="preserve"> Zaproszenie będzie wskazywało dokładne miejsce i godzinę rozpoczęcia spotkania</w:t>
      </w:r>
      <w:r w:rsidR="008401C9">
        <w:rPr>
          <w:rFonts w:cs="Calibri"/>
          <w:color w:val="000000"/>
          <w:sz w:val="20"/>
          <w:szCs w:val="20"/>
        </w:rPr>
        <w:t xml:space="preserve"> oraz formę jego prowadzenia – spotkanie/telekonferencja</w:t>
      </w:r>
      <w:r w:rsidR="00822C9F">
        <w:rPr>
          <w:rFonts w:cs="Calibri"/>
          <w:color w:val="000000"/>
          <w:sz w:val="20"/>
          <w:szCs w:val="20"/>
        </w:rPr>
        <w:t xml:space="preserve">. </w:t>
      </w:r>
    </w:p>
    <w:p w14:paraId="00000033" w14:textId="77777777" w:rsidR="00FA41E5" w:rsidRDefault="00822C9F">
      <w:pPr>
        <w:numPr>
          <w:ilvl w:val="1"/>
          <w:numId w:val="1"/>
        </w:numPr>
        <w:spacing w:before="100" w:after="0" w:line="276" w:lineRule="auto"/>
        <w:jc w:val="both"/>
        <w:rPr>
          <w:rFonts w:cs="Calibri"/>
          <w:color w:val="000000"/>
          <w:sz w:val="20"/>
          <w:szCs w:val="20"/>
        </w:rPr>
      </w:pPr>
      <w:r>
        <w:rPr>
          <w:rFonts w:cs="Calibri"/>
          <w:color w:val="000000"/>
          <w:sz w:val="20"/>
          <w:szCs w:val="20"/>
        </w:rPr>
        <w:t xml:space="preserve">W przypadku nie pojawienia się Wykonawcy w miejscu i terminie wskazanym w zaproszeniu do udziału w danej turze Dialogu konkurencyjnego,  OMGGS uzna, że Wykonawca nie wziął w niej udziału i nie wyznaczy kolejnego terminu spotkania w ramach tej tury negocjacyjnej. </w:t>
      </w:r>
    </w:p>
    <w:p w14:paraId="00000034"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lastRenderedPageBreak/>
        <w:t xml:space="preserve"> OMGGS przewiduje, że każda tura Dialogu konkurencyjnego będzie trwała nie dłużej niż jeden dzień. Jednakże z przyczyn organizacyjnych dana tura może trwać dłużej, a decyzja w tym zakresie jest pozostawiona wyłącznie OMGGS. </w:t>
      </w:r>
    </w:p>
    <w:p w14:paraId="00000035"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W trakcie prowadzonego Dialogu konkurencyjnego strony mogą poruszać wszystkie aspekty dotyczące Przedsięwzięcia, z zastrzeżeniem punktów 4.1 - 4.7 Regulaminu.  OMGGS nie będzie udzielać informacji Wykonawcom w sposób dyskryminacyjny, który pozwalałby poszczególnym Wykonawcom uzyskać przewagę konkurencyjną nad pozostałymi.</w:t>
      </w:r>
    </w:p>
    <w:p w14:paraId="00000036"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OMGGS nie przewiduje stopniowego ograniczania liczby Wykonawców w trakcie procedury Dialogu konkurencyjnego. Oznacza to, że każdy Wykonawca, który został zaproszony do udziału w Dialogu konkurencyjnym, zostanie zaproszony do złożenia oferty. </w:t>
      </w:r>
    </w:p>
    <w:p w14:paraId="00000037"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OMGGS będzie prowadzić Dialog konkurencyjny do momentu, w którym będzie mógł określić rozwiązanie lub rozwiązania najbardziej odpowiadające jego potrzebom. </w:t>
      </w:r>
    </w:p>
    <w:p w14:paraId="00000038"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OMGGS poinformuje Wykonawców na piśmie o zakończeniu Dialogu konkurencyjnego. Wraz z informacją o jego zakończeniu ustaje możliwość prowadzenia negocjacji pomiędzy OMGGS, a Wykonawcami.</w:t>
      </w:r>
    </w:p>
    <w:p w14:paraId="00000039" w14:textId="77777777" w:rsidR="00FA41E5" w:rsidRDefault="00FA41E5">
      <w:pPr>
        <w:spacing w:before="100" w:after="0" w:line="276" w:lineRule="auto"/>
        <w:ind w:left="851"/>
        <w:jc w:val="both"/>
        <w:rPr>
          <w:rFonts w:cs="Calibri"/>
          <w:color w:val="000000"/>
          <w:sz w:val="20"/>
          <w:szCs w:val="20"/>
        </w:rPr>
      </w:pPr>
    </w:p>
    <w:p w14:paraId="0000003A" w14:textId="77777777" w:rsidR="00FA41E5" w:rsidRDefault="00822C9F">
      <w:pPr>
        <w:numPr>
          <w:ilvl w:val="0"/>
          <w:numId w:val="1"/>
        </w:numPr>
        <w:spacing w:before="100" w:after="0" w:line="276" w:lineRule="auto"/>
        <w:jc w:val="both"/>
        <w:rPr>
          <w:rFonts w:cs="Calibri"/>
          <w:color w:val="000000"/>
          <w:sz w:val="20"/>
          <w:szCs w:val="20"/>
        </w:rPr>
      </w:pPr>
      <w:r>
        <w:rPr>
          <w:rFonts w:cs="Calibri"/>
          <w:b/>
          <w:color w:val="000000"/>
          <w:sz w:val="20"/>
          <w:szCs w:val="20"/>
        </w:rPr>
        <w:t>Dokumentowanie</w:t>
      </w:r>
      <w:r>
        <w:rPr>
          <w:rFonts w:cs="Calibri"/>
          <w:color w:val="000000"/>
          <w:sz w:val="20"/>
          <w:szCs w:val="20"/>
        </w:rPr>
        <w:t xml:space="preserve"> </w:t>
      </w:r>
      <w:r>
        <w:rPr>
          <w:rFonts w:cs="Calibri"/>
          <w:b/>
          <w:color w:val="000000"/>
          <w:sz w:val="20"/>
          <w:szCs w:val="20"/>
        </w:rPr>
        <w:t>przebiegu Dialogu konkurencyjnego</w:t>
      </w:r>
    </w:p>
    <w:p w14:paraId="0000003B"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OMGGS będzie na bieżąco sporządzać protokół z każdego ze spotkań z danym Wykonawcą. </w:t>
      </w:r>
    </w:p>
    <w:p w14:paraId="0000003C"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OMGGS może utrwalać przebieg spotkań na nośniku audio za uprzednim poinformowaniem o tym fakcie Wykonawców.</w:t>
      </w:r>
    </w:p>
    <w:p w14:paraId="0000003D"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Protokół po zakończeniu danej tury Dialogu konkurencyjnego będzie niezwłocznie przekazywany Wykonawcy do akceptacji. W terminie </w:t>
      </w:r>
      <w:r>
        <w:rPr>
          <w:sz w:val="20"/>
          <w:szCs w:val="20"/>
        </w:rPr>
        <w:t>3</w:t>
      </w:r>
      <w:r>
        <w:rPr>
          <w:rFonts w:cs="Calibri"/>
          <w:color w:val="000000"/>
          <w:sz w:val="20"/>
          <w:szCs w:val="20"/>
        </w:rPr>
        <w:t xml:space="preserve"> dni od otrzymania protokołu od OMGGS, Wykonawca będzie miał prawo zgłoszenia uwag do protokołu, które mogą zostać uwzględnione przez OMGGS. W przypadku braku porozumienia stron w powyższym zakresie, zostanie sporządzony protokół rozbieżności. W przypadku, gdy Wykonawca nie podpisze protokołu w powyższym </w:t>
      </w:r>
      <w:r>
        <w:rPr>
          <w:sz w:val="20"/>
          <w:szCs w:val="20"/>
        </w:rPr>
        <w:t>3</w:t>
      </w:r>
      <w:r>
        <w:rPr>
          <w:rFonts w:cs="Calibri"/>
          <w:color w:val="000000"/>
          <w:sz w:val="20"/>
          <w:szCs w:val="20"/>
        </w:rPr>
        <w:t xml:space="preserve"> dniowym terminie ani nie wniesie do niego uwag,  OMGGS uzna, iż Wykonawca nie wniósł zastrzeżeń do treści protokołu.</w:t>
      </w:r>
    </w:p>
    <w:p w14:paraId="0000003E" w14:textId="77777777" w:rsidR="00FA41E5" w:rsidRDefault="00FA41E5">
      <w:pPr>
        <w:spacing w:after="0" w:line="276" w:lineRule="auto"/>
        <w:jc w:val="both"/>
        <w:rPr>
          <w:rFonts w:cs="Calibri"/>
          <w:color w:val="000000"/>
          <w:sz w:val="20"/>
          <w:szCs w:val="20"/>
        </w:rPr>
      </w:pPr>
    </w:p>
    <w:p w14:paraId="0000003F" w14:textId="77777777" w:rsidR="00FA41E5" w:rsidRDefault="00822C9F">
      <w:pPr>
        <w:numPr>
          <w:ilvl w:val="0"/>
          <w:numId w:val="1"/>
        </w:numPr>
        <w:spacing w:before="100" w:after="0" w:line="276" w:lineRule="auto"/>
        <w:jc w:val="both"/>
        <w:rPr>
          <w:rFonts w:cs="Calibri"/>
          <w:b/>
          <w:color w:val="000000"/>
          <w:sz w:val="20"/>
          <w:szCs w:val="20"/>
        </w:rPr>
      </w:pPr>
      <w:r>
        <w:rPr>
          <w:rFonts w:cs="Calibri"/>
          <w:b/>
          <w:color w:val="000000"/>
          <w:sz w:val="20"/>
          <w:szCs w:val="20"/>
        </w:rPr>
        <w:t>Zaproszenie do składania ofert</w:t>
      </w:r>
    </w:p>
    <w:p w14:paraId="00000040"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Zgodnie z art. 60e ust. 3 Ustawy </w:t>
      </w:r>
      <w:proofErr w:type="spellStart"/>
      <w:r>
        <w:rPr>
          <w:rFonts w:cs="Calibri"/>
          <w:color w:val="000000"/>
          <w:sz w:val="20"/>
          <w:szCs w:val="20"/>
        </w:rPr>
        <w:t>Pzp</w:t>
      </w:r>
      <w:proofErr w:type="spellEnd"/>
      <w:r>
        <w:rPr>
          <w:rFonts w:cs="Calibri"/>
          <w:color w:val="000000"/>
          <w:sz w:val="20"/>
          <w:szCs w:val="20"/>
        </w:rPr>
        <w:t xml:space="preserve">  OMGGS przekaże Wykonawcom zaproszenie do składania ofert wraz z </w:t>
      </w:r>
      <w:proofErr w:type="spellStart"/>
      <w:r>
        <w:rPr>
          <w:rFonts w:cs="Calibri"/>
          <w:color w:val="000000"/>
          <w:sz w:val="20"/>
          <w:szCs w:val="20"/>
        </w:rPr>
        <w:t>siwz</w:t>
      </w:r>
      <w:proofErr w:type="spellEnd"/>
      <w:r>
        <w:rPr>
          <w:rFonts w:cs="Calibri"/>
          <w:color w:val="000000"/>
          <w:sz w:val="20"/>
          <w:szCs w:val="20"/>
        </w:rPr>
        <w:t>, zawierając</w:t>
      </w:r>
      <w:r>
        <w:rPr>
          <w:sz w:val="20"/>
          <w:szCs w:val="20"/>
        </w:rPr>
        <w:t>e</w:t>
      </w:r>
      <w:r>
        <w:rPr>
          <w:rFonts w:cs="Calibri"/>
          <w:color w:val="000000"/>
          <w:sz w:val="20"/>
          <w:szCs w:val="20"/>
        </w:rPr>
        <w:t xml:space="preserve"> kryteria oceny ofert wraz z podaniem wagi przypisanej każdemu z tych kryteriów oraz sposobem oceny ofert. </w:t>
      </w:r>
    </w:p>
    <w:p w14:paraId="00000041"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OMGGS w zaproszeniu do składania ofert wyznaczy termin na ich złożenie z uwzględnieniem czasu niezbędnego do ich przygotowania i złożenia. </w:t>
      </w:r>
    </w:p>
    <w:p w14:paraId="00000042"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Wykonawcy zgodnie z </w:t>
      </w:r>
      <w:proofErr w:type="spellStart"/>
      <w:r>
        <w:rPr>
          <w:rFonts w:cs="Calibri"/>
          <w:color w:val="000000"/>
          <w:sz w:val="20"/>
          <w:szCs w:val="20"/>
        </w:rPr>
        <w:t>uPzp</w:t>
      </w:r>
      <w:proofErr w:type="spellEnd"/>
      <w:r>
        <w:rPr>
          <w:rFonts w:cs="Calibri"/>
          <w:color w:val="000000"/>
          <w:sz w:val="20"/>
          <w:szCs w:val="20"/>
        </w:rPr>
        <w:t xml:space="preserve"> mają możliwość zwrócenia się do Zamawiającego z wnioskiem o wyjaśnienie treści </w:t>
      </w:r>
      <w:proofErr w:type="spellStart"/>
      <w:r>
        <w:rPr>
          <w:rFonts w:cs="Calibri"/>
          <w:color w:val="000000"/>
          <w:sz w:val="20"/>
          <w:szCs w:val="20"/>
        </w:rPr>
        <w:t>siwz</w:t>
      </w:r>
      <w:proofErr w:type="spellEnd"/>
      <w:r>
        <w:rPr>
          <w:rFonts w:cs="Calibri"/>
          <w:color w:val="000000"/>
          <w:sz w:val="20"/>
          <w:szCs w:val="20"/>
        </w:rPr>
        <w:t>.  OMGGS przekazuje wyjaśnienia niezwłocznie, jednak nie później niż na 6 dni przed upływem terminu składania ofert, jeśli wniosek wpłynie do OMGGS nie później niż do końca dnia, w którym upływa połowa wyznaczonego terminu składania ofert. Jeśli wniosek wpłynie po upływie tego terminu, OMGGS może udzielić wyjaśnień. Treść wniosku oraz wyjaśnienia są udostępniane wszystkim Wykonawcom, jednak bez ujawniania źródła pochodzenia wniosku.</w:t>
      </w:r>
    </w:p>
    <w:p w14:paraId="00000043"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Zgodnie z art. 38 ust. 4 </w:t>
      </w:r>
      <w:proofErr w:type="spellStart"/>
      <w:r>
        <w:rPr>
          <w:rFonts w:cs="Calibri"/>
          <w:color w:val="000000"/>
          <w:sz w:val="20"/>
          <w:szCs w:val="20"/>
        </w:rPr>
        <w:t>uPzp</w:t>
      </w:r>
      <w:proofErr w:type="spellEnd"/>
      <w:r>
        <w:rPr>
          <w:rFonts w:cs="Calibri"/>
          <w:color w:val="000000"/>
          <w:sz w:val="20"/>
          <w:szCs w:val="20"/>
        </w:rPr>
        <w:t xml:space="preserve"> w uzasadnionych przypadkach i przed upływem terminu składania ofert,  OMGGS zastrzega możliwość zmiany treści </w:t>
      </w:r>
      <w:proofErr w:type="spellStart"/>
      <w:r>
        <w:rPr>
          <w:rFonts w:cs="Calibri"/>
          <w:color w:val="000000"/>
          <w:sz w:val="20"/>
          <w:szCs w:val="20"/>
        </w:rPr>
        <w:t>siwz</w:t>
      </w:r>
      <w:proofErr w:type="spellEnd"/>
      <w:r>
        <w:rPr>
          <w:rFonts w:cs="Calibri"/>
          <w:color w:val="000000"/>
          <w:sz w:val="20"/>
          <w:szCs w:val="20"/>
        </w:rPr>
        <w:t xml:space="preserve">, w tym zmiany wzoru umowy. Dokonaną zmianę </w:t>
      </w:r>
      <w:proofErr w:type="spellStart"/>
      <w:r>
        <w:rPr>
          <w:rFonts w:cs="Calibri"/>
          <w:color w:val="000000"/>
          <w:sz w:val="20"/>
          <w:szCs w:val="20"/>
        </w:rPr>
        <w:t>siwz</w:t>
      </w:r>
      <w:proofErr w:type="spellEnd"/>
      <w:r>
        <w:rPr>
          <w:rFonts w:cs="Calibri"/>
          <w:color w:val="000000"/>
          <w:sz w:val="20"/>
          <w:szCs w:val="20"/>
        </w:rPr>
        <w:t xml:space="preserve">  OMGGS przekazuje niezwłocznie wszystkim Wykonawcom, zaproszonym do składania ofert. W uzasadnionym przypadku,  OMGGS przedłuży  termin złożenia ofert.</w:t>
      </w:r>
    </w:p>
    <w:p w14:paraId="00000044"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lastRenderedPageBreak/>
        <w:t>Po złożeniu ofert przez Wykonawców dopuszczalne jest jedynie ich wyjaśnianie, precyzowanie i uzupełnianie. Nie może to pociągać za sobą zmiany podstawowych właściwości oferty ani zaproszenia do składania ofert. Na żądanie OMGGS, Wykonawca wyłoniony jako ten, który złożył ofertę najkorzystniejszą, może zostać poproszony o udzielenie wyjaśnień dotyczących oferty lub o potwierdzenie zobowiązań sformułowanych w ofercie, o ile działanie takie nie spowoduje modyfikacji zasadniczych aspektów oferty lub zaproszenia do składania ofert.</w:t>
      </w:r>
    </w:p>
    <w:p w14:paraId="00000045"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Złożone oferty oceniane są na podstawie kryteriów określonych w Ogłoszeniu, których wagi oraz sposób punktacji zostaną podane w </w:t>
      </w:r>
      <w:proofErr w:type="spellStart"/>
      <w:r>
        <w:rPr>
          <w:rFonts w:cs="Calibri"/>
          <w:color w:val="000000"/>
          <w:sz w:val="20"/>
          <w:szCs w:val="20"/>
        </w:rPr>
        <w:t>siwz</w:t>
      </w:r>
      <w:proofErr w:type="spellEnd"/>
      <w:r>
        <w:rPr>
          <w:rFonts w:cs="Calibri"/>
          <w:color w:val="000000"/>
          <w:sz w:val="20"/>
          <w:szCs w:val="20"/>
        </w:rPr>
        <w:t>.</w:t>
      </w:r>
    </w:p>
    <w:p w14:paraId="00000046"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 OMGGS poinformuje wszystkich Wykonawców o wynikach oceny ofert zgodnie z zapisami </w:t>
      </w:r>
      <w:proofErr w:type="spellStart"/>
      <w:r>
        <w:rPr>
          <w:rFonts w:cs="Calibri"/>
          <w:color w:val="000000"/>
          <w:sz w:val="20"/>
          <w:szCs w:val="20"/>
        </w:rPr>
        <w:t>uPzp</w:t>
      </w:r>
      <w:proofErr w:type="spellEnd"/>
      <w:r>
        <w:rPr>
          <w:rFonts w:cs="Calibri"/>
          <w:color w:val="000000"/>
          <w:sz w:val="20"/>
          <w:szCs w:val="20"/>
        </w:rPr>
        <w:t>.</w:t>
      </w:r>
    </w:p>
    <w:p w14:paraId="00000047" w14:textId="77777777" w:rsidR="00FA41E5" w:rsidRDefault="00FA41E5">
      <w:pPr>
        <w:spacing w:before="100" w:after="0" w:line="276" w:lineRule="auto"/>
        <w:ind w:left="851"/>
        <w:jc w:val="both"/>
        <w:rPr>
          <w:rFonts w:cs="Calibri"/>
          <w:color w:val="000000"/>
          <w:sz w:val="20"/>
          <w:szCs w:val="20"/>
        </w:rPr>
      </w:pPr>
    </w:p>
    <w:p w14:paraId="00000048" w14:textId="77777777" w:rsidR="00FA41E5" w:rsidRDefault="00822C9F">
      <w:pPr>
        <w:numPr>
          <w:ilvl w:val="0"/>
          <w:numId w:val="1"/>
        </w:numPr>
        <w:spacing w:before="100" w:after="0" w:line="276" w:lineRule="auto"/>
        <w:jc w:val="both"/>
        <w:rPr>
          <w:rFonts w:cs="Calibri"/>
          <w:b/>
          <w:sz w:val="20"/>
          <w:szCs w:val="20"/>
        </w:rPr>
      </w:pPr>
      <w:r>
        <w:rPr>
          <w:rFonts w:cs="Calibri"/>
          <w:b/>
          <w:sz w:val="20"/>
          <w:szCs w:val="20"/>
        </w:rPr>
        <w:t>Komisja Przetargowa</w:t>
      </w:r>
    </w:p>
    <w:p w14:paraId="00000049"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Za przygotowanie i przeprowadzenie Dialogu konkurencyjnego odpowiada komisja przetargowa powołana przez Kierownika Zamawiającego.</w:t>
      </w:r>
    </w:p>
    <w:p w14:paraId="0000004A"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Komisja przetargowa może działać przy wsparciu biegłych i doradców.</w:t>
      </w:r>
    </w:p>
    <w:p w14:paraId="0000004B" w14:textId="77777777" w:rsidR="00FA41E5" w:rsidRDefault="00822C9F">
      <w:pPr>
        <w:numPr>
          <w:ilvl w:val="1"/>
          <w:numId w:val="1"/>
        </w:numPr>
        <w:spacing w:before="100" w:after="0" w:line="276" w:lineRule="auto"/>
        <w:ind w:left="851" w:hanging="491"/>
        <w:jc w:val="both"/>
        <w:rPr>
          <w:rFonts w:cs="Calibri"/>
          <w:color w:val="000000"/>
          <w:sz w:val="20"/>
          <w:szCs w:val="20"/>
        </w:rPr>
      </w:pPr>
      <w:r>
        <w:rPr>
          <w:rFonts w:cs="Calibri"/>
          <w:color w:val="000000"/>
          <w:sz w:val="20"/>
          <w:szCs w:val="20"/>
        </w:rPr>
        <w:t xml:space="preserve">Komisja przetargowa zobowiązana jest do zapewnienia bieżącego dokumentowania przebiegu Dialogu konkurencyjnego, a także jego udostępniania wszystkim zainteresowanym podmiotom, z zastrzeżeniem informacji stanowiących tajemnicę przedsiębiorstwa. </w:t>
      </w:r>
    </w:p>
    <w:p w14:paraId="0000004C" w14:textId="77777777" w:rsidR="00FA41E5" w:rsidRDefault="00822C9F">
      <w:pPr>
        <w:numPr>
          <w:ilvl w:val="1"/>
          <w:numId w:val="1"/>
        </w:numPr>
        <w:spacing w:before="100" w:after="0" w:line="276" w:lineRule="auto"/>
        <w:ind w:left="851" w:hanging="491"/>
        <w:jc w:val="both"/>
        <w:rPr>
          <w:rFonts w:cs="Calibri"/>
          <w:sz w:val="20"/>
          <w:szCs w:val="20"/>
        </w:rPr>
      </w:pPr>
      <w:r>
        <w:rPr>
          <w:rFonts w:cs="Calibri"/>
          <w:color w:val="000000"/>
          <w:sz w:val="20"/>
          <w:szCs w:val="20"/>
        </w:rPr>
        <w:t>Protokół przechowywany jest w siedzibie OMGGS w sposób gwarantujący jego nienaruszalność</w:t>
      </w:r>
      <w:r>
        <w:rPr>
          <w:rFonts w:cs="Calibri"/>
          <w:sz w:val="20"/>
          <w:szCs w:val="20"/>
        </w:rPr>
        <w:t xml:space="preserve">. </w:t>
      </w:r>
    </w:p>
    <w:p w14:paraId="0000004D" w14:textId="77777777" w:rsidR="00FA41E5" w:rsidRDefault="00FA41E5">
      <w:pPr>
        <w:spacing w:before="100" w:after="0" w:line="276" w:lineRule="auto"/>
        <w:ind w:left="851"/>
        <w:jc w:val="both"/>
        <w:rPr>
          <w:rFonts w:cs="Calibri"/>
          <w:sz w:val="20"/>
          <w:szCs w:val="20"/>
        </w:rPr>
      </w:pPr>
    </w:p>
    <w:p w14:paraId="0000004E" w14:textId="77777777" w:rsidR="00FA41E5" w:rsidRDefault="00822C9F">
      <w:pPr>
        <w:numPr>
          <w:ilvl w:val="0"/>
          <w:numId w:val="1"/>
        </w:numPr>
        <w:spacing w:before="100" w:after="0" w:line="276" w:lineRule="auto"/>
        <w:jc w:val="both"/>
        <w:rPr>
          <w:rFonts w:cs="Calibri"/>
          <w:b/>
          <w:sz w:val="20"/>
          <w:szCs w:val="20"/>
        </w:rPr>
      </w:pPr>
      <w:r>
        <w:rPr>
          <w:rFonts w:cs="Calibri"/>
          <w:b/>
          <w:sz w:val="20"/>
          <w:szCs w:val="20"/>
        </w:rPr>
        <w:t>Harmonogram Dialogu konkurencyjnego</w:t>
      </w:r>
    </w:p>
    <w:p w14:paraId="0000004F" w14:textId="77777777" w:rsidR="00FA41E5" w:rsidRDefault="00822C9F">
      <w:pPr>
        <w:numPr>
          <w:ilvl w:val="1"/>
          <w:numId w:val="1"/>
        </w:numPr>
        <w:pBdr>
          <w:top w:val="nil"/>
          <w:left w:val="nil"/>
          <w:bottom w:val="nil"/>
          <w:right w:val="nil"/>
          <w:between w:val="nil"/>
        </w:pBdr>
        <w:spacing w:before="100" w:after="0" w:line="276" w:lineRule="auto"/>
        <w:jc w:val="both"/>
        <w:rPr>
          <w:rFonts w:cs="Calibri"/>
          <w:color w:val="000000"/>
          <w:sz w:val="20"/>
          <w:szCs w:val="20"/>
        </w:rPr>
      </w:pPr>
      <w:r>
        <w:rPr>
          <w:rFonts w:cs="Calibri"/>
          <w:color w:val="000000"/>
          <w:sz w:val="20"/>
          <w:szCs w:val="20"/>
        </w:rPr>
        <w:t>Zakłada się, że Dialog konkurencyjny odbędzie się zgodnie z następującym harmonogramem:</w:t>
      </w:r>
    </w:p>
    <w:p w14:paraId="00000050" w14:textId="1F82BBA7"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 xml:space="preserve">przygotowanie i przeprowadzenie dialogu z potencjalnymi Wykonawcami </w:t>
      </w:r>
      <w:r w:rsidR="00DC3BAF">
        <w:rPr>
          <w:rFonts w:cs="Calibri"/>
          <w:color w:val="000000"/>
          <w:sz w:val="20"/>
          <w:szCs w:val="20"/>
        </w:rPr>
        <w:t>–</w:t>
      </w:r>
      <w:r>
        <w:rPr>
          <w:rFonts w:cs="Calibri"/>
          <w:color w:val="000000"/>
          <w:sz w:val="20"/>
          <w:szCs w:val="20"/>
        </w:rPr>
        <w:t xml:space="preserve"> </w:t>
      </w:r>
      <w:r w:rsidR="00F377C0">
        <w:rPr>
          <w:rFonts w:cs="Calibri"/>
          <w:color w:val="000000"/>
          <w:sz w:val="20"/>
          <w:szCs w:val="20"/>
        </w:rPr>
        <w:t>14</w:t>
      </w:r>
      <w:r w:rsidR="00DC3BAF">
        <w:rPr>
          <w:sz w:val="20"/>
          <w:szCs w:val="20"/>
        </w:rPr>
        <w:t xml:space="preserve"> maja</w:t>
      </w:r>
      <w:r>
        <w:rPr>
          <w:rFonts w:cs="Calibri"/>
          <w:color w:val="000000"/>
          <w:sz w:val="20"/>
          <w:szCs w:val="20"/>
        </w:rPr>
        <w:t xml:space="preserve"> 2020 roku </w:t>
      </w:r>
      <w:r w:rsidR="00DC3BAF">
        <w:rPr>
          <w:rFonts w:cs="Calibri"/>
          <w:color w:val="000000"/>
          <w:sz w:val="20"/>
          <w:szCs w:val="20"/>
        </w:rPr>
        <w:t>–</w:t>
      </w:r>
      <w:r>
        <w:rPr>
          <w:rFonts w:cs="Calibri"/>
          <w:color w:val="000000"/>
          <w:sz w:val="20"/>
          <w:szCs w:val="20"/>
        </w:rPr>
        <w:t xml:space="preserve"> </w:t>
      </w:r>
      <w:r w:rsidR="00F377C0">
        <w:rPr>
          <w:sz w:val="20"/>
          <w:szCs w:val="20"/>
        </w:rPr>
        <w:t>2 lipca</w:t>
      </w:r>
      <w:r>
        <w:rPr>
          <w:rFonts w:cs="Calibri"/>
          <w:color w:val="000000"/>
          <w:sz w:val="20"/>
          <w:szCs w:val="20"/>
        </w:rPr>
        <w:t xml:space="preserve"> 2020 roku;</w:t>
      </w:r>
    </w:p>
    <w:p w14:paraId="00000051" w14:textId="36FEE7C3"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 xml:space="preserve">opracowanie </w:t>
      </w:r>
      <w:r>
        <w:rPr>
          <w:sz w:val="20"/>
          <w:szCs w:val="20"/>
        </w:rPr>
        <w:t>SIWZ</w:t>
      </w:r>
      <w:r>
        <w:rPr>
          <w:rFonts w:cs="Calibri"/>
          <w:color w:val="000000"/>
          <w:sz w:val="20"/>
          <w:szCs w:val="20"/>
        </w:rPr>
        <w:t xml:space="preserve"> wraz z opisem przedmiotu zamówienia, wzoru umowy oraz zaproszenie Wykonawców do składania ofert </w:t>
      </w:r>
      <w:r w:rsidR="00DC3BAF">
        <w:rPr>
          <w:rFonts w:cs="Calibri"/>
          <w:color w:val="000000"/>
          <w:sz w:val="20"/>
          <w:szCs w:val="20"/>
        </w:rPr>
        <w:t>–</w:t>
      </w:r>
      <w:r>
        <w:rPr>
          <w:rFonts w:cs="Calibri"/>
          <w:color w:val="000000"/>
          <w:sz w:val="20"/>
          <w:szCs w:val="20"/>
        </w:rPr>
        <w:t xml:space="preserve"> </w:t>
      </w:r>
      <w:r w:rsidR="00212F6D">
        <w:rPr>
          <w:sz w:val="20"/>
          <w:szCs w:val="20"/>
        </w:rPr>
        <w:t>7</w:t>
      </w:r>
      <w:r w:rsidR="00DC3BAF">
        <w:rPr>
          <w:sz w:val="20"/>
          <w:szCs w:val="20"/>
        </w:rPr>
        <w:t xml:space="preserve"> – </w:t>
      </w:r>
      <w:r w:rsidR="00212F6D">
        <w:rPr>
          <w:sz w:val="20"/>
          <w:szCs w:val="20"/>
        </w:rPr>
        <w:t>17</w:t>
      </w:r>
      <w:r w:rsidR="00DC3BAF">
        <w:rPr>
          <w:sz w:val="20"/>
          <w:szCs w:val="20"/>
        </w:rPr>
        <w:t xml:space="preserve"> lipca </w:t>
      </w:r>
      <w:r>
        <w:rPr>
          <w:rFonts w:cs="Calibri"/>
          <w:color w:val="000000"/>
          <w:sz w:val="20"/>
          <w:szCs w:val="20"/>
        </w:rPr>
        <w:t>2020 roku;</w:t>
      </w:r>
    </w:p>
    <w:p w14:paraId="00000052" w14:textId="3E0C863E"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termin składania ofert, otwarcie ofert –</w:t>
      </w:r>
      <w:r>
        <w:rPr>
          <w:sz w:val="20"/>
          <w:szCs w:val="20"/>
        </w:rPr>
        <w:t xml:space="preserve"> 17 </w:t>
      </w:r>
      <w:r w:rsidR="00DC3BAF">
        <w:rPr>
          <w:sz w:val="20"/>
          <w:szCs w:val="20"/>
        </w:rPr>
        <w:t>lipca</w:t>
      </w:r>
      <w:r>
        <w:rPr>
          <w:rFonts w:cs="Calibri"/>
          <w:color w:val="000000"/>
          <w:sz w:val="20"/>
          <w:szCs w:val="20"/>
        </w:rPr>
        <w:t xml:space="preserve"> 2020 roku;</w:t>
      </w:r>
    </w:p>
    <w:p w14:paraId="00000053" w14:textId="313FED4D"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 xml:space="preserve">ocena ofert i zawiadomienie wszystkich Wykonawców o wyborze najkorzystniejszej oferty – </w:t>
      </w:r>
      <w:r w:rsidR="0039640D">
        <w:rPr>
          <w:rFonts w:cs="Calibri"/>
          <w:color w:val="000000"/>
          <w:sz w:val="20"/>
          <w:szCs w:val="20"/>
        </w:rPr>
        <w:t xml:space="preserve"> </w:t>
      </w:r>
      <w:r w:rsidR="00DC3BAF">
        <w:rPr>
          <w:sz w:val="20"/>
          <w:szCs w:val="20"/>
        </w:rPr>
        <w:t>druga</w:t>
      </w:r>
      <w:r>
        <w:rPr>
          <w:sz w:val="20"/>
          <w:szCs w:val="20"/>
        </w:rPr>
        <w:t xml:space="preserve"> dekada </w:t>
      </w:r>
      <w:r w:rsidR="00DC3BAF">
        <w:rPr>
          <w:sz w:val="20"/>
          <w:szCs w:val="20"/>
        </w:rPr>
        <w:t>sierpnia</w:t>
      </w:r>
      <w:r>
        <w:rPr>
          <w:rFonts w:cs="Calibri"/>
          <w:color w:val="000000"/>
          <w:sz w:val="20"/>
          <w:szCs w:val="20"/>
        </w:rPr>
        <w:t xml:space="preserve"> 2020 roku;</w:t>
      </w:r>
    </w:p>
    <w:p w14:paraId="00000054" w14:textId="0EF6C40B" w:rsidR="00FA41E5" w:rsidRDefault="00822C9F">
      <w:pPr>
        <w:numPr>
          <w:ilvl w:val="3"/>
          <w:numId w:val="1"/>
        </w:numPr>
        <w:pBdr>
          <w:top w:val="nil"/>
          <w:left w:val="nil"/>
          <w:bottom w:val="nil"/>
          <w:right w:val="nil"/>
          <w:between w:val="nil"/>
        </w:pBdr>
        <w:spacing w:after="0" w:line="276" w:lineRule="auto"/>
        <w:ind w:hanging="648"/>
        <w:jc w:val="both"/>
        <w:rPr>
          <w:rFonts w:cs="Calibri"/>
          <w:color w:val="000000"/>
          <w:sz w:val="20"/>
          <w:szCs w:val="20"/>
        </w:rPr>
      </w:pPr>
      <w:r>
        <w:rPr>
          <w:rFonts w:cs="Calibri"/>
          <w:color w:val="000000"/>
          <w:sz w:val="20"/>
          <w:szCs w:val="20"/>
        </w:rPr>
        <w:t xml:space="preserve">zawarcie Umowy z Wykonawcą </w:t>
      </w:r>
      <w:r w:rsidR="00DC3BAF">
        <w:rPr>
          <w:rFonts w:cs="Calibri"/>
          <w:color w:val="000000"/>
          <w:sz w:val="20"/>
          <w:szCs w:val="20"/>
        </w:rPr>
        <w:t>–</w:t>
      </w:r>
      <w:r>
        <w:rPr>
          <w:rFonts w:cs="Calibri"/>
          <w:color w:val="000000"/>
          <w:sz w:val="20"/>
          <w:szCs w:val="20"/>
        </w:rPr>
        <w:t xml:space="preserve"> </w:t>
      </w:r>
      <w:r w:rsidR="00DC3BAF">
        <w:rPr>
          <w:sz w:val="20"/>
          <w:szCs w:val="20"/>
        </w:rPr>
        <w:t>trzecia dekada sierpnia</w:t>
      </w:r>
      <w:r>
        <w:rPr>
          <w:rFonts w:cs="Calibri"/>
          <w:color w:val="000000"/>
          <w:sz w:val="20"/>
          <w:szCs w:val="20"/>
        </w:rPr>
        <w:t xml:space="preserve"> 2020 roku.</w:t>
      </w:r>
    </w:p>
    <w:p w14:paraId="00000055" w14:textId="77777777" w:rsidR="00FA41E5" w:rsidRDefault="00FA41E5">
      <w:bookmarkStart w:id="1" w:name="_heading=h.gjdgxs" w:colFirst="0" w:colLast="0"/>
      <w:bookmarkEnd w:id="1"/>
    </w:p>
    <w:p w14:paraId="00000056" w14:textId="77777777" w:rsidR="00FA41E5" w:rsidRDefault="00FA41E5">
      <w:pPr>
        <w:spacing w:line="276" w:lineRule="auto"/>
        <w:rPr>
          <w:sz w:val="20"/>
          <w:szCs w:val="20"/>
        </w:rPr>
      </w:pPr>
    </w:p>
    <w:sectPr w:rsidR="00FA41E5">
      <w:headerReference w:type="default" r:id="rId9"/>
      <w:footerReference w:type="default" r:id="rId10"/>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E6636" w14:textId="77777777" w:rsidR="00AE0B40" w:rsidRDefault="00AE0B40">
      <w:pPr>
        <w:spacing w:after="0" w:line="240" w:lineRule="auto"/>
      </w:pPr>
      <w:r>
        <w:separator/>
      </w:r>
    </w:p>
  </w:endnote>
  <w:endnote w:type="continuationSeparator" w:id="0">
    <w:p w14:paraId="2331ECAE" w14:textId="77777777" w:rsidR="00AE0B40" w:rsidRDefault="00AE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8" w14:textId="77777777" w:rsidR="00FA41E5" w:rsidRDefault="00822C9F">
    <w:pPr>
      <w:pBdr>
        <w:top w:val="nil"/>
        <w:left w:val="nil"/>
        <w:bottom w:val="nil"/>
        <w:right w:val="nil"/>
        <w:between w:val="nil"/>
      </w:pBdr>
      <w:tabs>
        <w:tab w:val="center" w:pos="4536"/>
        <w:tab w:val="right" w:pos="9072"/>
      </w:tabs>
      <w:spacing w:after="0" w:line="240" w:lineRule="auto"/>
      <w:rPr>
        <w:rFonts w:cs="Calibri"/>
        <w:color w:val="000000"/>
      </w:rPr>
    </w:pPr>
    <w:r>
      <w:rPr>
        <w:noProof/>
      </w:rPr>
      <w:drawing>
        <wp:anchor distT="0" distB="0" distL="114300" distR="114300" simplePos="0" relativeHeight="251658240" behindDoc="0" locked="0" layoutInCell="1" hidden="0" allowOverlap="1" wp14:anchorId="6D7CE34B" wp14:editId="6B28AB9B">
          <wp:simplePos x="0" y="0"/>
          <wp:positionH relativeFrom="column">
            <wp:posOffset>4145280</wp:posOffset>
          </wp:positionH>
          <wp:positionV relativeFrom="paragraph">
            <wp:posOffset>-294169</wp:posOffset>
          </wp:positionV>
          <wp:extent cx="1615440" cy="53594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5440" cy="535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393E0" w14:textId="77777777" w:rsidR="00AE0B40" w:rsidRDefault="00AE0B40">
      <w:pPr>
        <w:spacing w:after="0" w:line="240" w:lineRule="auto"/>
      </w:pPr>
      <w:r>
        <w:separator/>
      </w:r>
    </w:p>
  </w:footnote>
  <w:footnote w:type="continuationSeparator" w:id="0">
    <w:p w14:paraId="6969E06E" w14:textId="77777777" w:rsidR="00AE0B40" w:rsidRDefault="00AE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Calibri"/>
        <w:color w:val="000000"/>
      </w:rPr>
      <w:id w:val="-399603110"/>
      <w:docPartObj>
        <w:docPartGallery w:val="Page Numbers (Margins)"/>
        <w:docPartUnique/>
      </w:docPartObj>
    </w:sdtPr>
    <w:sdtEndPr/>
    <w:sdtContent>
      <w:p w14:paraId="00000057" w14:textId="17495A3D" w:rsidR="00FA41E5" w:rsidRDefault="00A61D78">
        <w:pPr>
          <w:pBdr>
            <w:top w:val="nil"/>
            <w:left w:val="nil"/>
            <w:bottom w:val="nil"/>
            <w:right w:val="nil"/>
            <w:between w:val="nil"/>
          </w:pBdr>
          <w:tabs>
            <w:tab w:val="center" w:pos="4536"/>
            <w:tab w:val="right" w:pos="9072"/>
          </w:tabs>
          <w:spacing w:after="0" w:line="240" w:lineRule="auto"/>
          <w:rPr>
            <w:rFonts w:cs="Calibri"/>
            <w:color w:val="000000"/>
          </w:rPr>
        </w:pPr>
        <w:r w:rsidRPr="00A61D78">
          <w:rPr>
            <w:rFonts w:cs="Calibri"/>
            <w:noProof/>
            <w:color w:val="000000"/>
          </w:rPr>
          <mc:AlternateContent>
            <mc:Choice Requires="wps">
              <w:drawing>
                <wp:anchor distT="0" distB="0" distL="114300" distR="114300" simplePos="0" relativeHeight="251660288" behindDoc="0" locked="0" layoutInCell="0" allowOverlap="1" wp14:anchorId="2F1E4F62" wp14:editId="4248F2C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2CB5" w14:textId="135D5722" w:rsidR="00A61D78" w:rsidRPr="00A61D78" w:rsidRDefault="00A61D78">
                              <w:pPr>
                                <w:pStyle w:val="Stopka"/>
                                <w:rPr>
                                  <w:rFonts w:asciiTheme="minorHAnsi" w:eastAsiaTheme="majorEastAsia" w:hAnsiTheme="minorHAnsi" w:cstheme="minorHAnsi"/>
                                  <w:sz w:val="16"/>
                                  <w:szCs w:val="16"/>
                                </w:rPr>
                              </w:pPr>
                              <w:r w:rsidRPr="00A61D78">
                                <w:rPr>
                                  <w:rFonts w:asciiTheme="minorHAnsi" w:eastAsiaTheme="majorEastAsia" w:hAnsiTheme="minorHAnsi" w:cstheme="minorHAnsi"/>
                                  <w:sz w:val="16"/>
                                  <w:szCs w:val="16"/>
                                </w:rPr>
                                <w:t>Strona</w:t>
                              </w:r>
                              <w:r>
                                <w:rPr>
                                  <w:rFonts w:asciiTheme="minorHAnsi" w:eastAsiaTheme="majorEastAsia" w:hAnsiTheme="minorHAnsi" w:cstheme="minorHAnsi"/>
                                  <w:sz w:val="16"/>
                                  <w:szCs w:val="16"/>
                                </w:rPr>
                                <w:t xml:space="preserve">   </w:t>
                              </w:r>
                              <w:r w:rsidRPr="00A61D78">
                                <w:rPr>
                                  <w:rFonts w:asciiTheme="minorHAnsi" w:eastAsiaTheme="minorEastAsia" w:hAnsiTheme="minorHAnsi" w:cstheme="minorHAnsi"/>
                                  <w:sz w:val="16"/>
                                  <w:szCs w:val="16"/>
                                </w:rPr>
                                <w:fldChar w:fldCharType="begin"/>
                              </w:r>
                              <w:r w:rsidRPr="00A61D78">
                                <w:rPr>
                                  <w:rFonts w:asciiTheme="minorHAnsi" w:hAnsiTheme="minorHAnsi" w:cstheme="minorHAnsi"/>
                                  <w:sz w:val="16"/>
                                  <w:szCs w:val="16"/>
                                </w:rPr>
                                <w:instrText>PAGE    \* MERGEFORMAT</w:instrText>
                              </w:r>
                              <w:r w:rsidRPr="00A61D78">
                                <w:rPr>
                                  <w:rFonts w:asciiTheme="minorHAnsi" w:eastAsiaTheme="minorEastAsia" w:hAnsiTheme="minorHAnsi" w:cstheme="minorHAnsi"/>
                                  <w:sz w:val="16"/>
                                  <w:szCs w:val="16"/>
                                </w:rPr>
                                <w:fldChar w:fldCharType="separate"/>
                              </w:r>
                              <w:r w:rsidRPr="00A61D78">
                                <w:rPr>
                                  <w:rFonts w:asciiTheme="minorHAnsi" w:eastAsiaTheme="majorEastAsia" w:hAnsiTheme="minorHAnsi" w:cstheme="minorHAnsi"/>
                                  <w:sz w:val="16"/>
                                  <w:szCs w:val="16"/>
                                </w:rPr>
                                <w:t>2</w:t>
                              </w:r>
                              <w:r w:rsidRPr="00A61D78">
                                <w:rPr>
                                  <w:rFonts w:asciiTheme="minorHAnsi" w:eastAsiaTheme="majorEastAsia" w:hAnsiTheme="minorHAnsi" w:cstheme="min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1E4F62"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" o:allowincell="f" filled="f" stroked="f">
                  <v:textbox style="layout-flow:vertical;mso-layout-flow-alt:bottom-to-top;mso-fit-shape-to-text:t">
                    <w:txbxContent>
                      <w:p w14:paraId="38D82CB5" w14:textId="135D5722" w:rsidR="00A61D78" w:rsidRPr="00A61D78" w:rsidRDefault="00A61D78">
                        <w:pPr>
                          <w:pStyle w:val="Stopka"/>
                          <w:rPr>
                            <w:rFonts w:asciiTheme="minorHAnsi" w:eastAsiaTheme="majorEastAsia" w:hAnsiTheme="minorHAnsi" w:cstheme="minorHAnsi"/>
                            <w:sz w:val="16"/>
                            <w:szCs w:val="16"/>
                          </w:rPr>
                        </w:pPr>
                        <w:r w:rsidRPr="00A61D78">
                          <w:rPr>
                            <w:rFonts w:asciiTheme="minorHAnsi" w:eastAsiaTheme="majorEastAsia" w:hAnsiTheme="minorHAnsi" w:cstheme="minorHAnsi"/>
                            <w:sz w:val="16"/>
                            <w:szCs w:val="16"/>
                          </w:rPr>
                          <w:t>Strona</w:t>
                        </w:r>
                        <w:r>
                          <w:rPr>
                            <w:rFonts w:asciiTheme="minorHAnsi" w:eastAsiaTheme="majorEastAsia" w:hAnsiTheme="minorHAnsi" w:cstheme="minorHAnsi"/>
                            <w:sz w:val="16"/>
                            <w:szCs w:val="16"/>
                          </w:rPr>
                          <w:t xml:space="preserve">   </w:t>
                        </w:r>
                        <w:r w:rsidRPr="00A61D78">
                          <w:rPr>
                            <w:rFonts w:asciiTheme="minorHAnsi" w:eastAsiaTheme="minorEastAsia" w:hAnsiTheme="minorHAnsi" w:cstheme="minorHAnsi"/>
                            <w:sz w:val="16"/>
                            <w:szCs w:val="16"/>
                          </w:rPr>
                          <w:fldChar w:fldCharType="begin"/>
                        </w:r>
                        <w:r w:rsidRPr="00A61D78">
                          <w:rPr>
                            <w:rFonts w:asciiTheme="minorHAnsi" w:hAnsiTheme="minorHAnsi" w:cstheme="minorHAnsi"/>
                            <w:sz w:val="16"/>
                            <w:szCs w:val="16"/>
                          </w:rPr>
                          <w:instrText>PAGE    \* MERGEFORMAT</w:instrText>
                        </w:r>
                        <w:r w:rsidRPr="00A61D78">
                          <w:rPr>
                            <w:rFonts w:asciiTheme="minorHAnsi" w:eastAsiaTheme="minorEastAsia" w:hAnsiTheme="minorHAnsi" w:cstheme="minorHAnsi"/>
                            <w:sz w:val="16"/>
                            <w:szCs w:val="16"/>
                          </w:rPr>
                          <w:fldChar w:fldCharType="separate"/>
                        </w:r>
                        <w:r w:rsidRPr="00A61D78">
                          <w:rPr>
                            <w:rFonts w:asciiTheme="minorHAnsi" w:eastAsiaTheme="majorEastAsia" w:hAnsiTheme="minorHAnsi" w:cstheme="minorHAnsi"/>
                            <w:sz w:val="16"/>
                            <w:szCs w:val="16"/>
                          </w:rPr>
                          <w:t>2</w:t>
                        </w:r>
                        <w:r w:rsidRPr="00A61D78">
                          <w:rPr>
                            <w:rFonts w:asciiTheme="minorHAnsi" w:eastAsiaTheme="majorEastAsia" w:hAnsiTheme="minorHAnsi" w:cstheme="minorHAnsi"/>
                            <w:sz w:val="16"/>
                            <w:szCs w:val="16"/>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4633E"/>
    <w:multiLevelType w:val="multilevel"/>
    <w:tmpl w:val="FD984A9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Noto Sans Symbols" w:eastAsia="Noto Sans Symbols" w:hAnsi="Noto Sans Symbols" w:cs="Noto Sans Symbols"/>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5."/>
      <w:lvlJc w:val="left"/>
      <w:pPr>
        <w:ind w:left="2232" w:hanging="792"/>
      </w:pPr>
    </w:lvl>
    <w:lvl w:ilvl="5">
      <w:start w:val="1"/>
      <w:numFmt w:val="decimal"/>
      <w:lvlText w:val="%1.%2.⎯.−.%5.%6."/>
      <w:lvlJc w:val="left"/>
      <w:pPr>
        <w:ind w:left="2736" w:hanging="935"/>
      </w:pPr>
    </w:lvl>
    <w:lvl w:ilvl="6">
      <w:start w:val="1"/>
      <w:numFmt w:val="decimal"/>
      <w:lvlText w:val="%1.%2.⎯.−.%5.%6.%7."/>
      <w:lvlJc w:val="left"/>
      <w:pPr>
        <w:ind w:left="3240" w:hanging="1080"/>
      </w:pPr>
    </w:lvl>
    <w:lvl w:ilvl="7">
      <w:start w:val="1"/>
      <w:numFmt w:val="decimal"/>
      <w:lvlText w:val="%1.%2.⎯.−.%5.%6.%7.%8."/>
      <w:lvlJc w:val="left"/>
      <w:pPr>
        <w:ind w:left="3744" w:hanging="1224"/>
      </w:pPr>
    </w:lvl>
    <w:lvl w:ilvl="8">
      <w:start w:val="1"/>
      <w:numFmt w:val="decimal"/>
      <w:lvlText w:val="%1.%2.⎯.−.%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5"/>
    <w:rsid w:val="001016ED"/>
    <w:rsid w:val="00212F6D"/>
    <w:rsid w:val="002245A5"/>
    <w:rsid w:val="003070D6"/>
    <w:rsid w:val="0039640D"/>
    <w:rsid w:val="003E6370"/>
    <w:rsid w:val="004C3A1B"/>
    <w:rsid w:val="00822C9F"/>
    <w:rsid w:val="008401C9"/>
    <w:rsid w:val="009939E3"/>
    <w:rsid w:val="00A61D78"/>
    <w:rsid w:val="00A778A6"/>
    <w:rsid w:val="00AE0B40"/>
    <w:rsid w:val="00C02ABD"/>
    <w:rsid w:val="00DC3BAF"/>
    <w:rsid w:val="00EE51E1"/>
    <w:rsid w:val="00F377C0"/>
    <w:rsid w:val="00FA4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F6A60"/>
  <w15:docId w15:val="{C1C1B2D9-415A-4B23-BC5D-FA1897E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l-PL" w:eastAsia="pl-PL"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C93"/>
    <w:rPr>
      <w:rFonts w:cs="Times New Roman"/>
    </w:rPr>
  </w:style>
  <w:style w:type="paragraph" w:styleId="Nagwek1">
    <w:name w:val="heading 1"/>
    <w:basedOn w:val="Normalny"/>
    <w:next w:val="Normalny"/>
    <w:link w:val="Nagwek1Znak"/>
    <w:uiPriority w:val="9"/>
    <w:qFormat/>
    <w:rsid w:val="00A64003"/>
    <w:pPr>
      <w:spacing w:before="300" w:after="40"/>
      <w:outlineLvl w:val="0"/>
    </w:pPr>
    <w:rPr>
      <w:smallCaps/>
      <w:spacing w:val="5"/>
      <w:sz w:val="32"/>
    </w:rPr>
  </w:style>
  <w:style w:type="paragraph" w:styleId="Nagwek2">
    <w:name w:val="heading 2"/>
    <w:basedOn w:val="Normalny"/>
    <w:next w:val="Normalny"/>
    <w:link w:val="Nagwek2Znak"/>
    <w:uiPriority w:val="9"/>
    <w:semiHidden/>
    <w:unhideWhenUsed/>
    <w:qFormat/>
    <w:rsid w:val="00A64003"/>
    <w:pPr>
      <w:spacing w:after="0"/>
      <w:outlineLvl w:val="1"/>
    </w:pPr>
    <w:rPr>
      <w:smallCaps/>
      <w:spacing w:val="5"/>
      <w:sz w:val="28"/>
    </w:rPr>
  </w:style>
  <w:style w:type="paragraph" w:styleId="Nagwek3">
    <w:name w:val="heading 3"/>
    <w:basedOn w:val="Normalny"/>
    <w:next w:val="Normalny"/>
    <w:link w:val="Nagwek3Znak"/>
    <w:uiPriority w:val="9"/>
    <w:semiHidden/>
    <w:unhideWhenUsed/>
    <w:qFormat/>
    <w:rsid w:val="00A64003"/>
    <w:pPr>
      <w:spacing w:after="0"/>
      <w:outlineLvl w:val="2"/>
    </w:pPr>
    <w:rPr>
      <w:smallCaps/>
      <w:spacing w:val="5"/>
      <w:sz w:val="24"/>
    </w:rPr>
  </w:style>
  <w:style w:type="paragraph" w:styleId="Nagwek4">
    <w:name w:val="heading 4"/>
    <w:basedOn w:val="Normalny"/>
    <w:next w:val="Normalny"/>
    <w:link w:val="Nagwek4Znak"/>
    <w:uiPriority w:val="9"/>
    <w:semiHidden/>
    <w:unhideWhenUsed/>
    <w:qFormat/>
    <w:rsid w:val="00A64003"/>
    <w:pPr>
      <w:spacing w:after="0"/>
      <w:outlineLvl w:val="3"/>
    </w:pPr>
    <w:rPr>
      <w:i/>
      <w:smallCaps/>
      <w:spacing w:val="10"/>
    </w:rPr>
  </w:style>
  <w:style w:type="paragraph" w:styleId="Nagwek5">
    <w:name w:val="heading 5"/>
    <w:basedOn w:val="Normalny"/>
    <w:next w:val="Normalny"/>
    <w:link w:val="Nagwek5Znak"/>
    <w:uiPriority w:val="9"/>
    <w:semiHidden/>
    <w:unhideWhenUsed/>
    <w:qFormat/>
    <w:rsid w:val="00A64003"/>
    <w:pPr>
      <w:spacing w:after="0"/>
      <w:outlineLvl w:val="4"/>
    </w:pPr>
    <w:rPr>
      <w:smallCaps/>
      <w:color w:val="538135"/>
      <w:spacing w:val="10"/>
    </w:rPr>
  </w:style>
  <w:style w:type="paragraph" w:styleId="Nagwek6">
    <w:name w:val="heading 6"/>
    <w:basedOn w:val="Normalny"/>
    <w:next w:val="Normalny"/>
    <w:link w:val="Nagwek6Znak"/>
    <w:uiPriority w:val="9"/>
    <w:semiHidden/>
    <w:unhideWhenUsed/>
    <w:qFormat/>
    <w:rsid w:val="00A64003"/>
    <w:pPr>
      <w:spacing w:after="0"/>
      <w:outlineLvl w:val="5"/>
    </w:pPr>
    <w:rPr>
      <w:smallCaps/>
      <w:color w:val="70AD47"/>
      <w:spacing w:val="5"/>
    </w:rPr>
  </w:style>
  <w:style w:type="paragraph" w:styleId="Nagwek7">
    <w:name w:val="heading 7"/>
    <w:basedOn w:val="Normalny"/>
    <w:next w:val="Normalny"/>
    <w:link w:val="Nagwek7Znak"/>
    <w:uiPriority w:val="9"/>
    <w:semiHidden/>
    <w:unhideWhenUsed/>
    <w:qFormat/>
    <w:rsid w:val="00A64003"/>
    <w:pPr>
      <w:spacing w:after="0"/>
      <w:outlineLvl w:val="6"/>
    </w:pPr>
    <w:rPr>
      <w:b/>
      <w:smallCaps/>
      <w:color w:val="70AD47"/>
      <w:spacing w:val="10"/>
    </w:rPr>
  </w:style>
  <w:style w:type="paragraph" w:styleId="Nagwek8">
    <w:name w:val="heading 8"/>
    <w:basedOn w:val="Normalny"/>
    <w:next w:val="Normalny"/>
    <w:link w:val="Nagwek8Znak"/>
    <w:uiPriority w:val="9"/>
    <w:semiHidden/>
    <w:unhideWhenUsed/>
    <w:qFormat/>
    <w:rsid w:val="00A64003"/>
    <w:pPr>
      <w:spacing w:after="0"/>
      <w:outlineLvl w:val="7"/>
    </w:pPr>
    <w:rPr>
      <w:b/>
      <w:i/>
      <w:smallCaps/>
      <w:color w:val="538135"/>
    </w:rPr>
  </w:style>
  <w:style w:type="paragraph" w:styleId="Nagwek9">
    <w:name w:val="heading 9"/>
    <w:basedOn w:val="Normalny"/>
    <w:next w:val="Normalny"/>
    <w:link w:val="Nagwek9Znak"/>
    <w:uiPriority w:val="9"/>
    <w:semiHidden/>
    <w:unhideWhenUsed/>
    <w:qFormat/>
    <w:rsid w:val="00A64003"/>
    <w:pPr>
      <w:spacing w:after="0"/>
      <w:outlineLvl w:val="8"/>
    </w:pPr>
    <w:rPr>
      <w:b/>
      <w:i/>
      <w:smallCaps/>
      <w:color w:val="3856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A64003"/>
    <w:pPr>
      <w:pBdr>
        <w:top w:val="single" w:sz="8" w:space="1" w:color="70AD47"/>
      </w:pBdr>
      <w:spacing w:after="120" w:line="240" w:lineRule="auto"/>
      <w:jc w:val="right"/>
    </w:pPr>
    <w:rPr>
      <w:smallCaps/>
      <w:color w:val="262626"/>
      <w:sz w:val="52"/>
    </w:rPr>
  </w:style>
  <w:style w:type="character" w:customStyle="1" w:styleId="Nagwek1Znak">
    <w:name w:val="Nagłówek 1 Znak"/>
    <w:basedOn w:val="Domylnaczcionkaakapitu"/>
    <w:link w:val="Nagwek1"/>
    <w:uiPriority w:val="9"/>
    <w:rsid w:val="00A64003"/>
    <w:rPr>
      <w:smallCaps/>
      <w:spacing w:val="5"/>
      <w:sz w:val="32"/>
    </w:rPr>
  </w:style>
  <w:style w:type="character" w:customStyle="1" w:styleId="Nagwek2Znak">
    <w:name w:val="Nagłówek 2 Znak"/>
    <w:basedOn w:val="Domylnaczcionkaakapitu"/>
    <w:link w:val="Nagwek2"/>
    <w:uiPriority w:val="9"/>
    <w:rsid w:val="00A64003"/>
    <w:rPr>
      <w:smallCaps/>
      <w:spacing w:val="5"/>
      <w:sz w:val="28"/>
    </w:rPr>
  </w:style>
  <w:style w:type="character" w:customStyle="1" w:styleId="Nagwek3Znak">
    <w:name w:val="Nagłówek 3 Znak"/>
    <w:basedOn w:val="Domylnaczcionkaakapitu"/>
    <w:link w:val="Nagwek3"/>
    <w:uiPriority w:val="9"/>
    <w:semiHidden/>
    <w:rsid w:val="00A64003"/>
    <w:rPr>
      <w:smallCaps/>
      <w:spacing w:val="5"/>
      <w:sz w:val="24"/>
    </w:rPr>
  </w:style>
  <w:style w:type="character" w:customStyle="1" w:styleId="Nagwek4Znak">
    <w:name w:val="Nagłówek 4 Znak"/>
    <w:basedOn w:val="Domylnaczcionkaakapitu"/>
    <w:link w:val="Nagwek4"/>
    <w:uiPriority w:val="9"/>
    <w:semiHidden/>
    <w:rsid w:val="00A64003"/>
    <w:rPr>
      <w:i/>
      <w:smallCaps/>
      <w:spacing w:val="10"/>
      <w:sz w:val="22"/>
    </w:rPr>
  </w:style>
  <w:style w:type="character" w:customStyle="1" w:styleId="Nagwek5Znak">
    <w:name w:val="Nagłówek 5 Znak"/>
    <w:basedOn w:val="Domylnaczcionkaakapitu"/>
    <w:link w:val="Nagwek5"/>
    <w:uiPriority w:val="9"/>
    <w:semiHidden/>
    <w:rsid w:val="00A64003"/>
    <w:rPr>
      <w:smallCaps/>
      <w:color w:val="538135"/>
      <w:spacing w:val="10"/>
      <w:sz w:val="22"/>
    </w:rPr>
  </w:style>
  <w:style w:type="character" w:customStyle="1" w:styleId="Nagwek6Znak">
    <w:name w:val="Nagłówek 6 Znak"/>
    <w:basedOn w:val="Domylnaczcionkaakapitu"/>
    <w:link w:val="Nagwek6"/>
    <w:uiPriority w:val="9"/>
    <w:semiHidden/>
    <w:rsid w:val="00A64003"/>
    <w:rPr>
      <w:smallCaps/>
      <w:color w:val="70AD47"/>
      <w:spacing w:val="5"/>
      <w:sz w:val="22"/>
    </w:rPr>
  </w:style>
  <w:style w:type="character" w:customStyle="1" w:styleId="Nagwek7Znak">
    <w:name w:val="Nagłówek 7 Znak"/>
    <w:basedOn w:val="Domylnaczcionkaakapitu"/>
    <w:link w:val="Nagwek7"/>
    <w:uiPriority w:val="9"/>
    <w:semiHidden/>
    <w:rsid w:val="00A64003"/>
    <w:rPr>
      <w:b/>
      <w:smallCaps/>
      <w:color w:val="70AD47"/>
      <w:spacing w:val="10"/>
    </w:rPr>
  </w:style>
  <w:style w:type="character" w:customStyle="1" w:styleId="Nagwek8Znak">
    <w:name w:val="Nagłówek 8 Znak"/>
    <w:basedOn w:val="Domylnaczcionkaakapitu"/>
    <w:link w:val="Nagwek8"/>
    <w:uiPriority w:val="9"/>
    <w:semiHidden/>
    <w:rsid w:val="00A64003"/>
    <w:rPr>
      <w:b/>
      <w:i/>
      <w:smallCaps/>
      <w:color w:val="538135"/>
    </w:rPr>
  </w:style>
  <w:style w:type="character" w:customStyle="1" w:styleId="Nagwek9Znak">
    <w:name w:val="Nagłówek 9 Znak"/>
    <w:basedOn w:val="Domylnaczcionkaakapitu"/>
    <w:link w:val="Nagwek9"/>
    <w:uiPriority w:val="9"/>
    <w:semiHidden/>
    <w:rsid w:val="00A64003"/>
    <w:rPr>
      <w:b/>
      <w:i/>
      <w:smallCaps/>
      <w:color w:val="385623"/>
    </w:rPr>
  </w:style>
  <w:style w:type="paragraph" w:styleId="Legenda">
    <w:name w:val="caption"/>
    <w:basedOn w:val="Normalny"/>
    <w:next w:val="Normalny"/>
    <w:uiPriority w:val="35"/>
    <w:semiHidden/>
    <w:unhideWhenUsed/>
    <w:qFormat/>
    <w:rsid w:val="00A64003"/>
    <w:rPr>
      <w:b/>
      <w:bCs/>
      <w:caps/>
      <w:sz w:val="16"/>
      <w:szCs w:val="16"/>
    </w:rPr>
  </w:style>
  <w:style w:type="character" w:customStyle="1" w:styleId="TytuZnak">
    <w:name w:val="Tytuł Znak"/>
    <w:basedOn w:val="Domylnaczcionkaakapitu"/>
    <w:link w:val="Tytu"/>
    <w:uiPriority w:val="10"/>
    <w:rsid w:val="00A64003"/>
    <w:rPr>
      <w:smallCaps/>
      <w:color w:val="262626"/>
      <w:sz w:val="52"/>
    </w:rPr>
  </w:style>
  <w:style w:type="paragraph" w:styleId="Podtytu">
    <w:name w:val="Subtitle"/>
    <w:basedOn w:val="Normalny"/>
    <w:next w:val="Normalny"/>
    <w:link w:val="PodtytuZnak"/>
    <w:uiPriority w:val="11"/>
    <w:qFormat/>
    <w:pPr>
      <w:spacing w:after="720" w:line="240" w:lineRule="auto"/>
      <w:jc w:val="right"/>
    </w:pPr>
    <w:rPr>
      <w:rFonts w:cs="Calibri"/>
    </w:rPr>
  </w:style>
  <w:style w:type="character" w:customStyle="1" w:styleId="PodtytuZnak">
    <w:name w:val="Podtytuł Znak"/>
    <w:basedOn w:val="Domylnaczcionkaakapitu"/>
    <w:link w:val="Podtytu"/>
    <w:uiPriority w:val="11"/>
    <w:rsid w:val="00A64003"/>
    <w:rPr>
      <w:rFonts w:ascii="Calibri Light" w:eastAsia="SimSun" w:hAnsi="Calibri Light"/>
    </w:rPr>
  </w:style>
  <w:style w:type="character" w:styleId="Pogrubienie">
    <w:name w:val="Strong"/>
    <w:basedOn w:val="Domylnaczcionkaakapitu"/>
    <w:uiPriority w:val="22"/>
    <w:qFormat/>
    <w:rsid w:val="00A64003"/>
    <w:rPr>
      <w:b/>
      <w:color w:val="70AD47"/>
    </w:rPr>
  </w:style>
  <w:style w:type="character" w:styleId="Uwydatnienie">
    <w:name w:val="Emphasis"/>
    <w:basedOn w:val="Domylnaczcionkaakapitu"/>
    <w:uiPriority w:val="20"/>
    <w:qFormat/>
    <w:rsid w:val="00A64003"/>
    <w:rPr>
      <w:b/>
      <w:i/>
      <w:spacing w:val="10"/>
    </w:rPr>
  </w:style>
  <w:style w:type="paragraph" w:styleId="Bezodstpw">
    <w:name w:val="No Spacing"/>
    <w:link w:val="BezodstpwZnak"/>
    <w:uiPriority w:val="1"/>
    <w:qFormat/>
    <w:rsid w:val="00A64003"/>
    <w:pPr>
      <w:jc w:val="both"/>
    </w:pPr>
  </w:style>
  <w:style w:type="character" w:customStyle="1" w:styleId="BezodstpwZnak">
    <w:name w:val="Bez odstępów Znak"/>
    <w:link w:val="Bezodstpw"/>
    <w:uiPriority w:val="1"/>
    <w:locked/>
    <w:rsid w:val="00A64003"/>
  </w:style>
  <w:style w:type="paragraph" w:styleId="Akapitzlist">
    <w:name w:val="List Paragraph"/>
    <w:aliases w:val="Lista punktowana1,Lista punktowana2,Lista punktowana3,List bullet"/>
    <w:basedOn w:val="Normalny"/>
    <w:link w:val="AkapitzlistZnak"/>
    <w:qFormat/>
    <w:rsid w:val="00A64003"/>
    <w:pPr>
      <w:ind w:left="720"/>
      <w:contextualSpacing/>
    </w:pPr>
  </w:style>
  <w:style w:type="character" w:customStyle="1" w:styleId="AkapitzlistZnak">
    <w:name w:val="Akapit z listą Znak"/>
    <w:aliases w:val="Lista punktowana1 Znak,Lista punktowana2 Znak,Lista punktowana3 Znak,List bullet Znak"/>
    <w:link w:val="Akapitzlist"/>
    <w:locked/>
    <w:rsid w:val="00A64003"/>
  </w:style>
  <w:style w:type="paragraph" w:styleId="Cytat">
    <w:name w:val="Quote"/>
    <w:basedOn w:val="Normalny"/>
    <w:next w:val="Normalny"/>
    <w:link w:val="CytatZnak"/>
    <w:uiPriority w:val="29"/>
    <w:qFormat/>
    <w:rsid w:val="00A64003"/>
    <w:rPr>
      <w:i/>
    </w:rPr>
  </w:style>
  <w:style w:type="character" w:customStyle="1" w:styleId="CytatZnak">
    <w:name w:val="Cytat Znak"/>
    <w:basedOn w:val="Domylnaczcionkaakapitu"/>
    <w:link w:val="Cytat"/>
    <w:uiPriority w:val="29"/>
    <w:rsid w:val="00A64003"/>
    <w:rPr>
      <w:i/>
    </w:rPr>
  </w:style>
  <w:style w:type="paragraph" w:styleId="Cytatintensywny">
    <w:name w:val="Intense Quote"/>
    <w:basedOn w:val="Normalny"/>
    <w:next w:val="Normalny"/>
    <w:link w:val="CytatintensywnyZnak"/>
    <w:uiPriority w:val="30"/>
    <w:qFormat/>
    <w:rsid w:val="00A64003"/>
    <w:pPr>
      <w:pBdr>
        <w:top w:val="single" w:sz="8" w:space="1" w:color="70AD47"/>
      </w:pBdr>
      <w:spacing w:before="140" w:after="140"/>
      <w:ind w:left="1440" w:right="1440"/>
    </w:pPr>
    <w:rPr>
      <w:b/>
      <w:i/>
    </w:rPr>
  </w:style>
  <w:style w:type="character" w:customStyle="1" w:styleId="CytatintensywnyZnak">
    <w:name w:val="Cytat intensywny Znak"/>
    <w:basedOn w:val="Domylnaczcionkaakapitu"/>
    <w:link w:val="Cytatintensywny"/>
    <w:uiPriority w:val="30"/>
    <w:rsid w:val="00A64003"/>
    <w:rPr>
      <w:b/>
      <w:i/>
    </w:rPr>
  </w:style>
  <w:style w:type="character" w:styleId="Wyrnieniedelikatne">
    <w:name w:val="Subtle Emphasis"/>
    <w:basedOn w:val="Domylnaczcionkaakapitu"/>
    <w:uiPriority w:val="19"/>
    <w:qFormat/>
    <w:rsid w:val="00A64003"/>
    <w:rPr>
      <w:i/>
    </w:rPr>
  </w:style>
  <w:style w:type="character" w:styleId="Wyrnienieintensywne">
    <w:name w:val="Intense Emphasis"/>
    <w:basedOn w:val="Domylnaczcionkaakapitu"/>
    <w:uiPriority w:val="21"/>
    <w:qFormat/>
    <w:rsid w:val="00A64003"/>
    <w:rPr>
      <w:b/>
      <w:i/>
      <w:color w:val="70AD47"/>
      <w:spacing w:val="10"/>
    </w:rPr>
  </w:style>
  <w:style w:type="character" w:styleId="Odwoaniedelikatne">
    <w:name w:val="Subtle Reference"/>
    <w:basedOn w:val="Domylnaczcionkaakapitu"/>
    <w:uiPriority w:val="31"/>
    <w:qFormat/>
    <w:rsid w:val="00A64003"/>
    <w:rPr>
      <w:b/>
    </w:rPr>
  </w:style>
  <w:style w:type="character" w:styleId="Odwoanieintensywne">
    <w:name w:val="Intense Reference"/>
    <w:basedOn w:val="Domylnaczcionkaakapitu"/>
    <w:uiPriority w:val="32"/>
    <w:qFormat/>
    <w:rsid w:val="00A64003"/>
    <w:rPr>
      <w:b/>
      <w:smallCaps/>
      <w:spacing w:val="5"/>
      <w:sz w:val="22"/>
      <w:u w:val="single"/>
    </w:rPr>
  </w:style>
  <w:style w:type="character" w:styleId="Tytuksiki">
    <w:name w:val="Book Title"/>
    <w:basedOn w:val="Domylnaczcionkaakapitu"/>
    <w:uiPriority w:val="33"/>
    <w:qFormat/>
    <w:rsid w:val="00A64003"/>
    <w:rPr>
      <w:rFonts w:ascii="Calibri Light" w:hAnsi="Calibri Light"/>
      <w:i/>
      <w:sz w:val="20"/>
    </w:rPr>
  </w:style>
  <w:style w:type="paragraph" w:styleId="Nagwekspisutreci">
    <w:name w:val="TOC Heading"/>
    <w:basedOn w:val="Nagwek1"/>
    <w:next w:val="Normalny"/>
    <w:uiPriority w:val="39"/>
    <w:unhideWhenUsed/>
    <w:qFormat/>
    <w:rsid w:val="00A64003"/>
    <w:pPr>
      <w:outlineLvl w:val="9"/>
    </w:pPr>
    <w:rPr>
      <w:szCs w:val="32"/>
    </w:rPr>
  </w:style>
  <w:style w:type="paragraph" w:styleId="Tekstdymka">
    <w:name w:val="Balloon Text"/>
    <w:basedOn w:val="Normalny"/>
    <w:link w:val="TekstdymkaZnak"/>
    <w:uiPriority w:val="99"/>
    <w:semiHidden/>
    <w:unhideWhenUsed/>
    <w:rsid w:val="001156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6E3"/>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1156E3"/>
    <w:rPr>
      <w:sz w:val="16"/>
      <w:szCs w:val="16"/>
    </w:rPr>
  </w:style>
  <w:style w:type="paragraph" w:styleId="Tekstkomentarza">
    <w:name w:val="annotation text"/>
    <w:basedOn w:val="Normalny"/>
    <w:link w:val="TekstkomentarzaZnak"/>
    <w:uiPriority w:val="99"/>
    <w:semiHidden/>
    <w:unhideWhenUsed/>
    <w:rsid w:val="001156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56E3"/>
    <w:rPr>
      <w:rFonts w:eastAsia="Calibri" w:cs="Times New Roman"/>
    </w:rPr>
  </w:style>
  <w:style w:type="paragraph" w:styleId="Tematkomentarza">
    <w:name w:val="annotation subject"/>
    <w:basedOn w:val="Tekstkomentarza"/>
    <w:next w:val="Tekstkomentarza"/>
    <w:link w:val="TematkomentarzaZnak"/>
    <w:uiPriority w:val="99"/>
    <w:semiHidden/>
    <w:unhideWhenUsed/>
    <w:rsid w:val="001156E3"/>
    <w:rPr>
      <w:b/>
      <w:bCs/>
    </w:rPr>
  </w:style>
  <w:style w:type="character" w:customStyle="1" w:styleId="TematkomentarzaZnak">
    <w:name w:val="Temat komentarza Znak"/>
    <w:basedOn w:val="TekstkomentarzaZnak"/>
    <w:link w:val="Tematkomentarza"/>
    <w:uiPriority w:val="99"/>
    <w:semiHidden/>
    <w:rsid w:val="001156E3"/>
    <w:rPr>
      <w:rFonts w:eastAsia="Calibri" w:cs="Times New Roman"/>
      <w:b/>
      <w:bCs/>
    </w:rPr>
  </w:style>
  <w:style w:type="paragraph" w:styleId="Nagwek">
    <w:name w:val="header"/>
    <w:basedOn w:val="Normalny"/>
    <w:link w:val="NagwekZnak"/>
    <w:uiPriority w:val="99"/>
    <w:unhideWhenUsed/>
    <w:rsid w:val="00F82D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D0E"/>
    <w:rPr>
      <w:rFonts w:eastAsia="Calibri" w:cs="Times New Roman"/>
      <w:sz w:val="22"/>
      <w:szCs w:val="22"/>
    </w:rPr>
  </w:style>
  <w:style w:type="paragraph" w:styleId="Stopka">
    <w:name w:val="footer"/>
    <w:basedOn w:val="Normalny"/>
    <w:link w:val="StopkaZnak"/>
    <w:uiPriority w:val="99"/>
    <w:unhideWhenUsed/>
    <w:rsid w:val="00F82D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D0E"/>
    <w:rPr>
      <w:rFonts w:eastAsia="Calibri" w:cs="Times New Roman"/>
      <w:sz w:val="22"/>
      <w:szCs w:val="22"/>
    </w:rPr>
  </w:style>
  <w:style w:type="character" w:styleId="Hipercze">
    <w:name w:val="Hyperlink"/>
    <w:basedOn w:val="Domylnaczcionkaakapitu"/>
    <w:uiPriority w:val="99"/>
    <w:unhideWhenUsed/>
    <w:rsid w:val="004C3A1B"/>
    <w:rPr>
      <w:color w:val="0563C1" w:themeColor="hyperlink"/>
      <w:u w:val="single"/>
    </w:rPr>
  </w:style>
  <w:style w:type="character" w:styleId="Nierozpoznanawzmianka">
    <w:name w:val="Unresolved Mention"/>
    <w:basedOn w:val="Domylnaczcionkaakapitu"/>
    <w:uiPriority w:val="99"/>
    <w:semiHidden/>
    <w:unhideWhenUsed/>
    <w:rsid w:val="004C3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lgorzata.stupakowska@um.sopo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TcXUOqaL5K5Qok3eg1cnxkRNdA==">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12584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DELL5</dc:creator>
  <cp:lastModifiedBy>Małgorzata Stupakowska</cp:lastModifiedBy>
  <cp:revision>2</cp:revision>
  <dcterms:created xsi:type="dcterms:W3CDTF">2020-04-28T06:39:00Z</dcterms:created>
  <dcterms:modified xsi:type="dcterms:W3CDTF">2020-04-28T06:39:00Z</dcterms:modified>
</cp:coreProperties>
</file>